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CC57C" w14:textId="77777777" w:rsidR="004F511E" w:rsidRDefault="004F511E">
      <w:pPr>
        <w:rPr>
          <w:rFonts w:ascii="Times New Roman" w:eastAsia="Times New Roman" w:hAnsi="Times New Roman" w:cs="Times New Roman"/>
        </w:rPr>
      </w:pPr>
    </w:p>
    <w:p w14:paraId="59A0F83E" w14:textId="77777777" w:rsidR="004F511E" w:rsidRDefault="004F511E">
      <w:pPr>
        <w:jc w:val="center"/>
        <w:rPr>
          <w:rFonts w:ascii="Times New Roman" w:eastAsia="Times New Roman" w:hAnsi="Times New Roman" w:cs="Times New Roman"/>
        </w:rPr>
      </w:pPr>
    </w:p>
    <w:p w14:paraId="0F604655" w14:textId="77777777" w:rsidR="004F511E" w:rsidRDefault="00FC4F1F">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Project Final Report</w:t>
      </w:r>
    </w:p>
    <w:p w14:paraId="7B76DC41" w14:textId="77777777" w:rsidR="004F511E" w:rsidRDefault="00FC4F1F">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Portfolio Performance </w:t>
      </w:r>
    </w:p>
    <w:p w14:paraId="19EC9E5B" w14:textId="77777777" w:rsidR="004F511E" w:rsidRDefault="004F511E">
      <w:pPr>
        <w:rPr>
          <w:rFonts w:ascii="Times New Roman" w:eastAsia="Times New Roman" w:hAnsi="Times New Roman" w:cs="Times New Roman"/>
          <w:sz w:val="48"/>
          <w:szCs w:val="48"/>
        </w:rPr>
      </w:pPr>
    </w:p>
    <w:p w14:paraId="2583BC89" w14:textId="77777777" w:rsidR="004F511E" w:rsidRDefault="00FC4F1F">
      <w:pPr>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inline distT="114300" distB="114300" distL="114300" distR="114300" wp14:anchorId="34797DFF" wp14:editId="33E37FFF">
            <wp:extent cx="2937686" cy="2937686"/>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2937686" cy="2937686"/>
                    </a:xfrm>
                    <a:prstGeom prst="rect">
                      <a:avLst/>
                    </a:prstGeom>
                    <a:ln/>
                  </pic:spPr>
                </pic:pic>
              </a:graphicData>
            </a:graphic>
          </wp:inline>
        </w:drawing>
      </w:r>
    </w:p>
    <w:p w14:paraId="49E4A571" w14:textId="77777777" w:rsidR="004F511E" w:rsidRDefault="004F511E">
      <w:pPr>
        <w:jc w:val="center"/>
        <w:rPr>
          <w:rFonts w:ascii="Times New Roman" w:eastAsia="Times New Roman" w:hAnsi="Times New Roman" w:cs="Times New Roman"/>
          <w:sz w:val="24"/>
          <w:szCs w:val="24"/>
        </w:rPr>
      </w:pPr>
    </w:p>
    <w:p w14:paraId="63ABB970" w14:textId="77777777"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FA582-A: Foundations of Financial Data Science</w:t>
      </w:r>
    </w:p>
    <w:p w14:paraId="4DF5F247" w14:textId="77777777" w:rsidR="004F511E" w:rsidRDefault="004F511E">
      <w:pPr>
        <w:jc w:val="center"/>
        <w:rPr>
          <w:rFonts w:ascii="Times New Roman" w:eastAsia="Times New Roman" w:hAnsi="Times New Roman" w:cs="Times New Roman"/>
          <w:sz w:val="36"/>
          <w:szCs w:val="36"/>
        </w:rPr>
      </w:pPr>
    </w:p>
    <w:p w14:paraId="6F5C598B" w14:textId="77777777"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Group 2:</w:t>
      </w:r>
    </w:p>
    <w:p w14:paraId="7E0CC1C5" w14:textId="77777777"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Raj </w:t>
      </w:r>
      <w:proofErr w:type="spellStart"/>
      <w:r>
        <w:rPr>
          <w:rFonts w:ascii="Times New Roman" w:eastAsia="Times New Roman" w:hAnsi="Times New Roman" w:cs="Times New Roman"/>
          <w:sz w:val="36"/>
          <w:szCs w:val="36"/>
        </w:rPr>
        <w:t>Gondaliya</w:t>
      </w:r>
      <w:proofErr w:type="spellEnd"/>
    </w:p>
    <w:p w14:paraId="2C25C284" w14:textId="77777777"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Rishabh Rawat</w:t>
      </w:r>
    </w:p>
    <w:p w14:paraId="3FA41BB8" w14:textId="77777777" w:rsidR="004F511E" w:rsidRDefault="004F511E">
      <w:pPr>
        <w:jc w:val="center"/>
        <w:rPr>
          <w:rFonts w:ascii="Times New Roman" w:eastAsia="Times New Roman" w:hAnsi="Times New Roman" w:cs="Times New Roman"/>
          <w:sz w:val="36"/>
          <w:szCs w:val="36"/>
        </w:rPr>
      </w:pPr>
    </w:p>
    <w:p w14:paraId="15C82C8D" w14:textId="77777777"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Fall 2021 Semester</w:t>
      </w:r>
    </w:p>
    <w:p w14:paraId="3B61D45F" w14:textId="0A0E3685" w:rsidR="004F511E" w:rsidRDefault="00FC4F1F">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November 21, 2021</w:t>
      </w:r>
    </w:p>
    <w:p w14:paraId="5E4E5080" w14:textId="77777777" w:rsidR="00FC4F1F" w:rsidRDefault="00FC4F1F">
      <w:pPr>
        <w:jc w:val="center"/>
        <w:rPr>
          <w:rFonts w:ascii="Times New Roman" w:eastAsia="Times New Roman" w:hAnsi="Times New Roman" w:cs="Times New Roman"/>
          <w:sz w:val="36"/>
          <w:szCs w:val="36"/>
        </w:rPr>
      </w:pPr>
    </w:p>
    <w:p w14:paraId="45FCE0DC" w14:textId="114B3F1A" w:rsidR="00FC4F1F" w:rsidRDefault="00FC4F1F">
      <w:pPr>
        <w:jc w:val="center"/>
        <w:rPr>
          <w:rFonts w:ascii="Times New Roman" w:eastAsia="Times New Roman" w:hAnsi="Times New Roman" w:cs="Times New Roman"/>
          <w:sz w:val="36"/>
          <w:szCs w:val="36"/>
        </w:rPr>
      </w:pPr>
    </w:p>
    <w:p w14:paraId="0EC0807F" w14:textId="77777777" w:rsidR="00FC4F1F" w:rsidRDefault="00FC4F1F">
      <w:pPr>
        <w:jc w:val="center"/>
        <w:rPr>
          <w:rFonts w:ascii="Times New Roman" w:eastAsia="Times New Roman" w:hAnsi="Times New Roman" w:cs="Times New Roman"/>
          <w:sz w:val="24"/>
          <w:szCs w:val="24"/>
        </w:rPr>
      </w:pPr>
    </w:p>
    <w:p w14:paraId="331D0E5D" w14:textId="77777777" w:rsidR="004F511E" w:rsidRDefault="004F511E">
      <w:pPr>
        <w:rPr>
          <w:rFonts w:ascii="Times New Roman" w:eastAsia="Times New Roman" w:hAnsi="Times New Roman" w:cs="Times New Roman"/>
          <w:i/>
          <w:sz w:val="28"/>
          <w:szCs w:val="28"/>
        </w:rPr>
      </w:pPr>
    </w:p>
    <w:p w14:paraId="7CBCD50E" w14:textId="77777777" w:rsidR="004F511E" w:rsidRDefault="00FC4F1F">
      <w:pPr>
        <w:shd w:val="clear" w:color="auto" w:fill="FFFFFF"/>
        <w:spacing w:after="20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Abstract</w:t>
      </w:r>
    </w:p>
    <w:p w14:paraId="73468107" w14:textId="77777777" w:rsidR="004F511E" w:rsidRDefault="00FC4F1F">
      <w:pPr>
        <w:shd w:val="clear" w:color="auto" w:fill="FFFFFF"/>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purpose of this paper is to determine the performance of the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most commonly known</w:t>
      </w:r>
      <w:proofErr w:type="gramEnd"/>
      <w:r>
        <w:rPr>
          <w:rFonts w:ascii="Times New Roman" w:eastAsia="Times New Roman" w:hAnsi="Times New Roman" w:cs="Times New Roman"/>
          <w:sz w:val="24"/>
          <w:szCs w:val="24"/>
        </w:rPr>
        <w:t xml:space="preserve"> stock indices in comparison to top performing companies across all sectors. This paper uses data and analysis methods to answer the question: How does the performa</w:t>
      </w:r>
      <w:r>
        <w:rPr>
          <w:rFonts w:ascii="Times New Roman" w:eastAsia="Times New Roman" w:hAnsi="Times New Roman" w:cs="Times New Roman"/>
          <w:sz w:val="24"/>
          <w:szCs w:val="24"/>
        </w:rPr>
        <w:t xml:space="preserve">nce of stock market indices of the leading companies in the United States compare to indices generated with top performing companies across all sectors over the last 10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 xml:space="preserve"> A portfolio was generated using stock prices from what the team deemed to be the</w:t>
      </w:r>
      <w:r>
        <w:rPr>
          <w:rFonts w:ascii="Times New Roman" w:eastAsia="Times New Roman" w:hAnsi="Times New Roman" w:cs="Times New Roman"/>
          <w:sz w:val="24"/>
          <w:szCs w:val="24"/>
        </w:rPr>
        <w:t xml:space="preserve"> top performing companies within each of the eleven GICS sectors. This data was used to compare the portfolio performance to the S&amp;P 500 and Dow Jones using methods such as return comparison, looking at different trading strategies, and clustering. </w:t>
      </w:r>
    </w:p>
    <w:p w14:paraId="72D0EEFD" w14:textId="77777777" w:rsidR="004F511E" w:rsidRDefault="00FC4F1F">
      <w:pPr>
        <w:shd w:val="clear" w:color="auto" w:fill="FFFFFF"/>
        <w:spacing w:after="200" w:line="240" w:lineRule="auto"/>
        <w:rPr>
          <w:rFonts w:ascii="Times New Roman" w:eastAsia="Times New Roman" w:hAnsi="Times New Roman" w:cs="Times New Roman"/>
          <w:color w:val="2D3B45"/>
          <w:sz w:val="28"/>
          <w:szCs w:val="28"/>
        </w:rPr>
      </w:pPr>
      <w:r>
        <w:rPr>
          <w:rFonts w:ascii="Times New Roman" w:eastAsia="Times New Roman" w:hAnsi="Times New Roman" w:cs="Times New Roman"/>
          <w:b/>
          <w:sz w:val="28"/>
          <w:szCs w:val="28"/>
          <w:u w:val="single"/>
        </w:rPr>
        <w:t>Introduction</w:t>
      </w:r>
    </w:p>
    <w:p w14:paraId="546D4D14" w14:textId="77777777" w:rsidR="004F511E" w:rsidRDefault="00FC4F1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&amp; Poor’s 500, more commonly known as S&amp;P 500, is a stock market index of </w:t>
      </w:r>
      <w:proofErr w:type="gramStart"/>
      <w:r>
        <w:rPr>
          <w:rFonts w:ascii="Times New Roman" w:eastAsia="Times New Roman" w:hAnsi="Times New Roman" w:cs="Times New Roman"/>
          <w:sz w:val="24"/>
          <w:szCs w:val="24"/>
        </w:rPr>
        <w:t>five-hundred</w:t>
      </w:r>
      <w:proofErr w:type="gramEnd"/>
      <w:r>
        <w:rPr>
          <w:rFonts w:ascii="Times New Roman" w:eastAsia="Times New Roman" w:hAnsi="Times New Roman" w:cs="Times New Roman"/>
          <w:sz w:val="24"/>
          <w:szCs w:val="24"/>
        </w:rPr>
        <w:t xml:space="preserve"> of the leading publicly traded companies in the United States. Similarly, the Dow Jones Industrial Average, or Dow Jones, is a price-weighted me</w:t>
      </w:r>
      <w:r>
        <w:rPr>
          <w:rFonts w:ascii="Times New Roman" w:eastAsia="Times New Roman" w:hAnsi="Times New Roman" w:cs="Times New Roman"/>
          <w:sz w:val="24"/>
          <w:szCs w:val="24"/>
        </w:rPr>
        <w:t xml:space="preserve">asurement stock market index of thirty prominent companies listed on stock exchanges in the United States. These are two of the </w:t>
      </w:r>
      <w:proofErr w:type="gramStart"/>
      <w:r>
        <w:rPr>
          <w:rFonts w:ascii="Times New Roman" w:eastAsia="Times New Roman" w:hAnsi="Times New Roman" w:cs="Times New Roman"/>
          <w:sz w:val="24"/>
          <w:szCs w:val="24"/>
        </w:rPr>
        <w:t>most commonly viewed</w:t>
      </w:r>
      <w:proofErr w:type="gramEnd"/>
      <w:r>
        <w:rPr>
          <w:rFonts w:ascii="Times New Roman" w:eastAsia="Times New Roman" w:hAnsi="Times New Roman" w:cs="Times New Roman"/>
          <w:sz w:val="24"/>
          <w:szCs w:val="24"/>
        </w:rPr>
        <w:t xml:space="preserve"> equity indices in the United States today. </w:t>
      </w:r>
    </w:p>
    <w:p w14:paraId="0032EB23" w14:textId="77777777" w:rsidR="004F511E" w:rsidRDefault="00FC4F1F">
      <w:pPr>
        <w:spacing w:line="480" w:lineRule="auto"/>
        <w:ind w:firstLine="720"/>
        <w:rPr>
          <w:rFonts w:ascii="Times New Roman" w:eastAsia="Times New Roman" w:hAnsi="Times New Roman" w:cs="Times New Roman"/>
          <w:i/>
          <w:color w:val="2D3B45"/>
          <w:sz w:val="28"/>
          <w:szCs w:val="28"/>
        </w:rPr>
      </w:pPr>
      <w:r>
        <w:rPr>
          <w:rFonts w:ascii="Times New Roman" w:eastAsia="Times New Roman" w:hAnsi="Times New Roman" w:cs="Times New Roman"/>
          <w:sz w:val="24"/>
          <w:szCs w:val="24"/>
        </w:rPr>
        <w:t>For this project, the team would like to create their own portf</w:t>
      </w:r>
      <w:r>
        <w:rPr>
          <w:rFonts w:ascii="Times New Roman" w:eastAsia="Times New Roman" w:hAnsi="Times New Roman" w:cs="Times New Roman"/>
          <w:sz w:val="24"/>
          <w:szCs w:val="24"/>
        </w:rPr>
        <w:t>olio consisting of companies of top performance within each of the GICS sectors such as Energy, Health Care, Information Technology, and more. Once a portfolio is created, the team is planning on comparing the performance of their portfolio with the perfor</w:t>
      </w:r>
      <w:r>
        <w:rPr>
          <w:rFonts w:ascii="Times New Roman" w:eastAsia="Times New Roman" w:hAnsi="Times New Roman" w:cs="Times New Roman"/>
          <w:sz w:val="24"/>
          <w:szCs w:val="24"/>
        </w:rPr>
        <w:t>mance of the S&amp;P 500 and Dow Jones over a period of the last ten years. With the stock data readily available to the team from sources like Bloomberg and Yahoo Finance, the team plans to implement a complete scraping, cleaning, and analysis of the data usi</w:t>
      </w:r>
      <w:r>
        <w:rPr>
          <w:rFonts w:ascii="Times New Roman" w:eastAsia="Times New Roman" w:hAnsi="Times New Roman" w:cs="Times New Roman"/>
          <w:sz w:val="24"/>
          <w:szCs w:val="24"/>
        </w:rPr>
        <w:t xml:space="preserve">ng examples and methods discussed in class in a practical, real-world </w:t>
      </w:r>
      <w:r>
        <w:rPr>
          <w:rFonts w:ascii="Times New Roman" w:eastAsia="Times New Roman" w:hAnsi="Times New Roman" w:cs="Times New Roman"/>
          <w:sz w:val="24"/>
          <w:szCs w:val="24"/>
        </w:rPr>
        <w:lastRenderedPageBreak/>
        <w:t>application. The purpose of executing this study is to get a better understanding of how well the nation's top performing stocks are really doing in comparison to a portfolio composed of</w:t>
      </w:r>
      <w:r>
        <w:rPr>
          <w:rFonts w:ascii="Times New Roman" w:eastAsia="Times New Roman" w:hAnsi="Times New Roman" w:cs="Times New Roman"/>
          <w:sz w:val="24"/>
          <w:szCs w:val="24"/>
        </w:rPr>
        <w:t xml:space="preserve"> stocks for companies within a large range of industries. This study provides quantifiable evidence to support the research question outlined above.</w:t>
      </w:r>
    </w:p>
    <w:p w14:paraId="3C733C49" w14:textId="77777777" w:rsidR="004F511E" w:rsidRDefault="004F511E">
      <w:pPr>
        <w:shd w:val="clear" w:color="auto" w:fill="FFFFFF"/>
        <w:spacing w:line="240" w:lineRule="auto"/>
        <w:rPr>
          <w:rFonts w:ascii="Times New Roman" w:eastAsia="Times New Roman" w:hAnsi="Times New Roman" w:cs="Times New Roman"/>
          <w:color w:val="2D3B45"/>
          <w:sz w:val="24"/>
          <w:szCs w:val="24"/>
        </w:rPr>
      </w:pPr>
    </w:p>
    <w:p w14:paraId="2BDC9A8F" w14:textId="77777777" w:rsidR="004F511E" w:rsidRDefault="00FC4F1F">
      <w:pPr>
        <w:shd w:val="clear" w:color="auto" w:fill="FFFFFF"/>
        <w:spacing w:after="200" w:line="240" w:lineRule="auto"/>
        <w:rPr>
          <w:rFonts w:ascii="Times New Roman" w:eastAsia="Times New Roman" w:hAnsi="Times New Roman" w:cs="Times New Roman"/>
          <w:i/>
          <w:color w:val="2D3B45"/>
          <w:sz w:val="28"/>
          <w:szCs w:val="28"/>
        </w:rPr>
      </w:pPr>
      <w:r>
        <w:rPr>
          <w:rFonts w:ascii="Times New Roman" w:eastAsia="Times New Roman" w:hAnsi="Times New Roman" w:cs="Times New Roman"/>
          <w:b/>
          <w:sz w:val="28"/>
          <w:szCs w:val="28"/>
          <w:u w:val="single"/>
        </w:rPr>
        <w:t>Data and Methods</w:t>
      </w:r>
    </w:p>
    <w:p w14:paraId="4922203D" w14:textId="77777777" w:rsidR="004F511E" w:rsidRDefault="00FC4F1F">
      <w:pPr>
        <w:shd w:val="clear" w:color="auto" w:fill="FFFFFF"/>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achieve the goals outlined for the project, the team put together a dataset using excel and up-to-date stock information from Yahoo Finance. Using </w:t>
      </w:r>
      <w:proofErr w:type="gramStart"/>
      <w:r>
        <w:rPr>
          <w:rFonts w:ascii="Times New Roman" w:eastAsia="Times New Roman" w:hAnsi="Times New Roman" w:cs="Times New Roman"/>
          <w:sz w:val="24"/>
          <w:szCs w:val="24"/>
        </w:rPr>
        <w:t>a time period</w:t>
      </w:r>
      <w:proofErr w:type="gramEnd"/>
      <w:r>
        <w:rPr>
          <w:rFonts w:ascii="Times New Roman" w:eastAsia="Times New Roman" w:hAnsi="Times New Roman" w:cs="Times New Roman"/>
          <w:sz w:val="24"/>
          <w:szCs w:val="24"/>
        </w:rPr>
        <w:t xml:space="preserve"> of 10 years beginning in 2011 to 2021, the team created a data frame consisting of </w:t>
      </w:r>
      <w:r>
        <w:rPr>
          <w:rFonts w:ascii="Times New Roman" w:eastAsia="Times New Roman" w:hAnsi="Times New Roman" w:cs="Times New Roman"/>
          <w:sz w:val="24"/>
          <w:szCs w:val="24"/>
        </w:rPr>
        <w:t>stock price data and percent change. This data frame included information from one top performing company in each of the 11 GICS stock market sectors. These sectors are listed below:</w:t>
      </w:r>
    </w:p>
    <w:p w14:paraId="3D3B9828"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w:t>
      </w:r>
    </w:p>
    <w:p w14:paraId="324901C3"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w:t>
      </w:r>
    </w:p>
    <w:p w14:paraId="35D55767"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Industrials</w:t>
      </w:r>
    </w:p>
    <w:p w14:paraId="5486E1C9"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Utilities</w:t>
      </w:r>
    </w:p>
    <w:p w14:paraId="5590ADEA"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Healthcare</w:t>
      </w:r>
    </w:p>
    <w:p w14:paraId="2A6CD84E"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Financials</w:t>
      </w:r>
    </w:p>
    <w:p w14:paraId="2CB2EA33"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Dis</w:t>
      </w:r>
      <w:r>
        <w:rPr>
          <w:rFonts w:ascii="Times New Roman" w:eastAsia="Times New Roman" w:hAnsi="Times New Roman" w:cs="Times New Roman"/>
          <w:sz w:val="24"/>
          <w:szCs w:val="24"/>
        </w:rPr>
        <w:t>cretionary</w:t>
      </w:r>
    </w:p>
    <w:p w14:paraId="66CF7367"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Staples</w:t>
      </w:r>
    </w:p>
    <w:p w14:paraId="3F8B1E32"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w:t>
      </w:r>
    </w:p>
    <w:p w14:paraId="57122D98"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Services</w:t>
      </w:r>
    </w:p>
    <w:p w14:paraId="6F6BFA5B" w14:textId="77777777" w:rsidR="004F511E" w:rsidRDefault="00FC4F1F">
      <w:pPr>
        <w:numPr>
          <w:ilvl w:val="0"/>
          <w:numId w:val="1"/>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w:t>
      </w:r>
    </w:p>
    <w:p w14:paraId="1C70629B"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select the stocks from each of these sectors which were considered to be the top performing, the team conducted research on each of these sectors and selecte</w:t>
      </w:r>
      <w:r>
        <w:rPr>
          <w:rFonts w:ascii="Times New Roman" w:eastAsia="Times New Roman" w:hAnsi="Times New Roman" w:cs="Times New Roman"/>
          <w:sz w:val="24"/>
          <w:szCs w:val="24"/>
        </w:rPr>
        <w:t xml:space="preserve">d the largest </w:t>
      </w:r>
      <w:r>
        <w:rPr>
          <w:rFonts w:ascii="Times New Roman" w:eastAsia="Times New Roman" w:hAnsi="Times New Roman" w:cs="Times New Roman"/>
          <w:sz w:val="24"/>
          <w:szCs w:val="24"/>
        </w:rPr>
        <w:lastRenderedPageBreak/>
        <w:t xml:space="preserve">companies based on historical return and risk over the past 10 years. While if the team only looked at performance in the past year, the selections may look different, since years of performance are being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xml:space="preserve">, these selections </w:t>
      </w:r>
      <w:r>
        <w:rPr>
          <w:rFonts w:ascii="Times New Roman" w:eastAsia="Times New Roman" w:hAnsi="Times New Roman" w:cs="Times New Roman"/>
          <w:sz w:val="24"/>
          <w:szCs w:val="24"/>
        </w:rPr>
        <w:t xml:space="preserve">mostly happen to be the well-known larger companies in each sector. </w:t>
      </w:r>
    </w:p>
    <w:p w14:paraId="1E839D5E" w14:textId="77777777" w:rsidR="004F511E" w:rsidRDefault="00FC4F1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energy sector contains companies within oil and natural gas industries as well as other consumable fuels. Within the energy sector, the largest companies are ExxonMobil (XOM) and Chev</w:t>
      </w:r>
      <w:r>
        <w:rPr>
          <w:rFonts w:ascii="Times New Roman" w:eastAsia="Times New Roman" w:hAnsi="Times New Roman" w:cs="Times New Roman"/>
          <w:sz w:val="24"/>
          <w:szCs w:val="24"/>
        </w:rPr>
        <w:t>ron (CVX). The team selected ExxonMobil for their analysis. Looking at the materials sector, which is made up of companies involved in production of goods for manufacturing, the more well-known companies are Sherwin-Williams (SHW) and DuPont (DD). The team</w:t>
      </w:r>
      <w:r>
        <w:rPr>
          <w:rFonts w:ascii="Times New Roman" w:eastAsia="Times New Roman" w:hAnsi="Times New Roman" w:cs="Times New Roman"/>
          <w:sz w:val="24"/>
          <w:szCs w:val="24"/>
        </w:rPr>
        <w:t xml:space="preserve"> selected the paint maker, Sherwin-William for this sector. For the industrials sector, Boeing (BA) and Union Pacific (UNP) are the largest stocks. This sector is very broad in that it contains companies that involve use of heavy equipment such as transpor</w:t>
      </w:r>
      <w:r>
        <w:rPr>
          <w:rFonts w:ascii="Times New Roman" w:eastAsia="Times New Roman" w:hAnsi="Times New Roman" w:cs="Times New Roman"/>
          <w:sz w:val="24"/>
          <w:szCs w:val="24"/>
        </w:rPr>
        <w:t>tation companies, construction, engineering, and others within this general field. The team selected Boeing, an airplane manufacturer, to use in the analysis. The utilities sector comprises utility companies which provide commodities such as electrical pow</w:t>
      </w:r>
      <w:r>
        <w:rPr>
          <w:rFonts w:ascii="Times New Roman" w:eastAsia="Times New Roman" w:hAnsi="Times New Roman" w:cs="Times New Roman"/>
          <w:sz w:val="24"/>
          <w:szCs w:val="24"/>
        </w:rPr>
        <w:t>er, natural gas, water, etc. While the big utilities companies tend to vary depending on physical location, the team selected Duke Energy (DUK), which is primarily in service in the Southeast U.S., because of its historical returns. Looking at the healthca</w:t>
      </w:r>
      <w:r>
        <w:rPr>
          <w:rFonts w:ascii="Times New Roman" w:eastAsia="Times New Roman" w:hAnsi="Times New Roman" w:cs="Times New Roman"/>
          <w:sz w:val="24"/>
          <w:szCs w:val="24"/>
        </w:rPr>
        <w:t>re sector, which includes companies that develop pharmaceuticals and treatments based on biotechnology as well as healthcare equipment and services companies. The leaders in this sector are UnitedHealth Group (UNH) and Johnson &amp; Johnson (JNJ), for which th</w:t>
      </w:r>
      <w:r>
        <w:rPr>
          <w:rFonts w:ascii="Times New Roman" w:eastAsia="Times New Roman" w:hAnsi="Times New Roman" w:cs="Times New Roman"/>
          <w:sz w:val="24"/>
          <w:szCs w:val="24"/>
        </w:rPr>
        <w:t>e team selected UnitedHealth Group to analyze. The largest companies in the financial sector are Berkshire Hathaway (BRK-A, and BRK-B) and JPMorgan Chase (JPM). This sector is made up of companies that primarily handle money such as banks or insurance comp</w:t>
      </w:r>
      <w:r>
        <w:rPr>
          <w:rFonts w:ascii="Times New Roman" w:eastAsia="Times New Roman" w:hAnsi="Times New Roman" w:cs="Times New Roman"/>
          <w:sz w:val="24"/>
          <w:szCs w:val="24"/>
        </w:rPr>
        <w:t xml:space="preserve">anies. The team </w:t>
      </w:r>
      <w:r>
        <w:rPr>
          <w:rFonts w:ascii="Times New Roman" w:eastAsia="Times New Roman" w:hAnsi="Times New Roman" w:cs="Times New Roman"/>
          <w:sz w:val="24"/>
          <w:szCs w:val="24"/>
        </w:rPr>
        <w:lastRenderedPageBreak/>
        <w:t xml:space="preserve">selected JPMorgan Chase from the </w:t>
      </w:r>
      <w:proofErr w:type="spellStart"/>
      <w:r>
        <w:rPr>
          <w:rFonts w:ascii="Times New Roman" w:eastAsia="Times New Roman" w:hAnsi="Times New Roman" w:cs="Times New Roman"/>
          <w:sz w:val="24"/>
          <w:szCs w:val="24"/>
        </w:rPr>
        <w:t>financials</w:t>
      </w:r>
      <w:proofErr w:type="spellEnd"/>
      <w:r>
        <w:rPr>
          <w:rFonts w:ascii="Times New Roman" w:eastAsia="Times New Roman" w:hAnsi="Times New Roman" w:cs="Times New Roman"/>
          <w:sz w:val="24"/>
          <w:szCs w:val="24"/>
        </w:rPr>
        <w:t xml:space="preserve"> sector for their analysis. The consumer discretionary and consumer staples sectors are next. Each of these sectors cover goods and services companies with the former having consumer demand dependi</w:t>
      </w:r>
      <w:r>
        <w:rPr>
          <w:rFonts w:ascii="Times New Roman" w:eastAsia="Times New Roman" w:hAnsi="Times New Roman" w:cs="Times New Roman"/>
          <w:sz w:val="24"/>
          <w:szCs w:val="24"/>
        </w:rPr>
        <w:t>ng on financial status and the latter does not. These sectors’ top companies are Amazon (AMZN) and McDonald’s (MCD) and Coca-Cola (KO) and Procter &amp; Gamble (PG), respectively. Of the two top companies for each sector, the team selected Amazon and Coca-Cola</w:t>
      </w:r>
      <w:r>
        <w:rPr>
          <w:rFonts w:ascii="Times New Roman" w:eastAsia="Times New Roman" w:hAnsi="Times New Roman" w:cs="Times New Roman"/>
          <w:sz w:val="24"/>
          <w:szCs w:val="24"/>
        </w:rPr>
        <w:t xml:space="preserve"> to be included in their analysis. Looking at the information technology sector, which contains companies within different areas of technological innovation, the top companies are Apple (APPL) and Microsoft (MSFT) without surprise. The team chose to look a</w:t>
      </w:r>
      <w:r>
        <w:rPr>
          <w:rFonts w:ascii="Times New Roman" w:eastAsia="Times New Roman" w:hAnsi="Times New Roman" w:cs="Times New Roman"/>
          <w:sz w:val="24"/>
          <w:szCs w:val="24"/>
        </w:rPr>
        <w:t xml:space="preserve">t Apple in their project comparison. Nearing the end of the list is the communication services sector. Within this sector are companies involved with telecommunication services, media, and entertainment. This is the newest sector and was formed from areas </w:t>
      </w:r>
      <w:r>
        <w:rPr>
          <w:rFonts w:ascii="Times New Roman" w:eastAsia="Times New Roman" w:hAnsi="Times New Roman" w:cs="Times New Roman"/>
          <w:sz w:val="24"/>
          <w:szCs w:val="24"/>
        </w:rPr>
        <w:t xml:space="preserve">which were previously included in other sectors. The top companies within communication services are Facebook (FB) and </w:t>
      </w:r>
      <w:proofErr w:type="spellStart"/>
      <w:r>
        <w:rPr>
          <w:rFonts w:ascii="Times New Roman" w:eastAsia="Times New Roman" w:hAnsi="Times New Roman" w:cs="Times New Roman"/>
          <w:sz w:val="24"/>
          <w:szCs w:val="24"/>
        </w:rPr>
        <w:t>Alpabet</w:t>
      </w:r>
      <w:proofErr w:type="spellEnd"/>
      <w:r>
        <w:rPr>
          <w:rFonts w:ascii="Times New Roman" w:eastAsia="Times New Roman" w:hAnsi="Times New Roman" w:cs="Times New Roman"/>
          <w:sz w:val="24"/>
          <w:szCs w:val="24"/>
        </w:rPr>
        <w:t xml:space="preserve"> (GOOGL) which includes Google (GOOG), from which the team selected Google. Finally, for the real estate sector, which contains tw</w:t>
      </w:r>
      <w:r>
        <w:rPr>
          <w:rFonts w:ascii="Times New Roman" w:eastAsia="Times New Roman" w:hAnsi="Times New Roman" w:cs="Times New Roman"/>
          <w:sz w:val="24"/>
          <w:szCs w:val="24"/>
        </w:rPr>
        <w:t xml:space="preserve">o different types of investments related to real estate: new real estate project development and management companies, and real estate investment trusts. The top stocks in this sector are American Tower (AMT) and Simon Property Group (SPG). The team chose </w:t>
      </w:r>
      <w:r>
        <w:rPr>
          <w:rFonts w:ascii="Times New Roman" w:eastAsia="Times New Roman" w:hAnsi="Times New Roman" w:cs="Times New Roman"/>
          <w:sz w:val="24"/>
          <w:szCs w:val="24"/>
        </w:rPr>
        <w:t>the cellular communications tower company, American Tower. [1]</w:t>
      </w:r>
    </w:p>
    <w:p w14:paraId="3A38D672" w14:textId="77777777" w:rsidR="004F511E" w:rsidRDefault="00FC4F1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datasets created by the team can be seen in the figures below. The data was taken from Yahoo Finance as the monthly close prices for each of the eleven selected stocks, as well as a dataset</w:t>
      </w:r>
      <w:r>
        <w:rPr>
          <w:rFonts w:ascii="Times New Roman" w:eastAsia="Times New Roman" w:hAnsi="Times New Roman" w:cs="Times New Roman"/>
          <w:sz w:val="24"/>
          <w:szCs w:val="24"/>
        </w:rPr>
        <w:t xml:space="preserve"> containing the close prices of the SPY and DIA which were used as comparisons. These were used to perform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data analysis within this project.</w:t>
      </w:r>
    </w:p>
    <w:p w14:paraId="3187AF34" w14:textId="77777777" w:rsidR="004F511E" w:rsidRDefault="00FC4F1F">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9B223BE" wp14:editId="0211FC28">
            <wp:extent cx="5729288" cy="2488200"/>
            <wp:effectExtent l="12700" t="12700" r="12700" b="1270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5729288" cy="2488200"/>
                    </a:xfrm>
                    <a:prstGeom prst="rect">
                      <a:avLst/>
                    </a:prstGeom>
                    <a:ln w="12700">
                      <a:solidFill>
                        <a:srgbClr val="000000"/>
                      </a:solidFill>
                      <a:prstDash val="solid"/>
                    </a:ln>
                  </pic:spPr>
                </pic:pic>
              </a:graphicData>
            </a:graphic>
          </wp:inline>
        </w:drawing>
      </w:r>
    </w:p>
    <w:p w14:paraId="3D5924EC" w14:textId="77777777" w:rsidR="004F511E" w:rsidRDefault="00FC4F1F">
      <w:pPr>
        <w:shd w:val="clear" w:color="auto" w:fill="FFFFFF"/>
        <w:spacing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 Dataset containing monthly stock prices for selected portfolio</w:t>
      </w:r>
    </w:p>
    <w:p w14:paraId="1FEA5312" w14:textId="77777777" w:rsidR="004F511E" w:rsidRDefault="004F511E">
      <w:pPr>
        <w:shd w:val="clear" w:color="auto" w:fill="FFFFFF"/>
        <w:spacing w:line="240" w:lineRule="auto"/>
        <w:rPr>
          <w:rFonts w:ascii="Times New Roman" w:eastAsia="Times New Roman" w:hAnsi="Times New Roman" w:cs="Times New Roman"/>
          <w:sz w:val="24"/>
          <w:szCs w:val="24"/>
        </w:rPr>
      </w:pPr>
    </w:p>
    <w:p w14:paraId="7B818B23"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032CA1" wp14:editId="1FD3C268">
            <wp:extent cx="1905000" cy="2555488"/>
            <wp:effectExtent l="12700" t="12700" r="12700" b="1270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1905000" cy="2555488"/>
                    </a:xfrm>
                    <a:prstGeom prst="rect">
                      <a:avLst/>
                    </a:prstGeom>
                    <a:ln w="12700">
                      <a:solidFill>
                        <a:srgbClr val="000000"/>
                      </a:solidFill>
                      <a:prstDash val="solid"/>
                    </a:ln>
                  </pic:spPr>
                </pic:pic>
              </a:graphicData>
            </a:graphic>
          </wp:inline>
        </w:drawing>
      </w:r>
    </w:p>
    <w:p w14:paraId="33C3C75C" w14:textId="77777777" w:rsidR="004F511E" w:rsidRDefault="00FC4F1F">
      <w:pPr>
        <w:shd w:val="clear" w:color="auto" w:fill="FFFFFF"/>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 Dataset consisting of monthly close prices for chosen indices (SPY and DIA)</w:t>
      </w:r>
    </w:p>
    <w:p w14:paraId="78C3E1D2" w14:textId="77777777" w:rsidR="004F511E" w:rsidRDefault="004F511E">
      <w:pPr>
        <w:shd w:val="clear" w:color="auto" w:fill="FFFFFF"/>
        <w:spacing w:line="240" w:lineRule="auto"/>
        <w:rPr>
          <w:rFonts w:ascii="Times New Roman" w:eastAsia="Times New Roman" w:hAnsi="Times New Roman" w:cs="Times New Roman"/>
          <w:sz w:val="24"/>
          <w:szCs w:val="24"/>
        </w:rPr>
      </w:pPr>
    </w:p>
    <w:p w14:paraId="0DBB277C"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From the dataset in Figure 1, the team was able to create a dataset which contains the month</w:t>
      </w:r>
      <w:r>
        <w:rPr>
          <w:rFonts w:ascii="Times New Roman" w:eastAsia="Times New Roman" w:hAnsi="Times New Roman" w:cs="Times New Roman"/>
          <w:sz w:val="24"/>
          <w:szCs w:val="24"/>
        </w:rPr>
        <w:t>ly log returns for each of the stocks in the selected portfolio. This dataset can be seen in Figure 3 below.</w:t>
      </w:r>
    </w:p>
    <w:p w14:paraId="5FE66CA1" w14:textId="77777777" w:rsidR="004F511E" w:rsidRDefault="00FC4F1F">
      <w:pPr>
        <w:shd w:val="clear" w:color="auto" w:fill="FFFFFF"/>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lastRenderedPageBreak/>
        <w:drawing>
          <wp:inline distT="114300" distB="114300" distL="114300" distR="114300" wp14:anchorId="19D5D6CE" wp14:editId="3B9E6EEC">
            <wp:extent cx="5943600" cy="2819400"/>
            <wp:effectExtent l="12700" t="12700" r="12700" b="12700"/>
            <wp:docPr id="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943600" cy="2819400"/>
                    </a:xfrm>
                    <a:prstGeom prst="rect">
                      <a:avLst/>
                    </a:prstGeom>
                    <a:ln w="12700">
                      <a:solidFill>
                        <a:srgbClr val="000000"/>
                      </a:solidFill>
                      <a:prstDash val="solid"/>
                    </a:ln>
                  </pic:spPr>
                </pic:pic>
              </a:graphicData>
            </a:graphic>
          </wp:inline>
        </w:drawing>
      </w:r>
    </w:p>
    <w:p w14:paraId="25E23940" w14:textId="77777777" w:rsidR="004F511E" w:rsidRDefault="00FC4F1F">
      <w:pPr>
        <w:shd w:val="clear" w:color="auto" w:fill="FFFFFF"/>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3: Dataset containing monthly log returns for selected portfolio</w:t>
      </w:r>
    </w:p>
    <w:p w14:paraId="72BB2124" w14:textId="77777777" w:rsidR="004F511E" w:rsidRDefault="004F511E">
      <w:pPr>
        <w:shd w:val="clear" w:color="auto" w:fill="FFFFFF"/>
        <w:spacing w:line="240" w:lineRule="auto"/>
        <w:jc w:val="center"/>
        <w:rPr>
          <w:rFonts w:ascii="Times New Roman" w:eastAsia="Times New Roman" w:hAnsi="Times New Roman" w:cs="Times New Roman"/>
          <w:i/>
          <w:sz w:val="24"/>
          <w:szCs w:val="24"/>
        </w:rPr>
      </w:pPr>
    </w:p>
    <w:p w14:paraId="0FF35A91"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Once the team had their datasets, they were able to begin data analysis</w:t>
      </w:r>
      <w:r>
        <w:rPr>
          <w:rFonts w:ascii="Times New Roman" w:eastAsia="Times New Roman" w:hAnsi="Times New Roman" w:cs="Times New Roman"/>
          <w:sz w:val="24"/>
          <w:szCs w:val="24"/>
        </w:rPr>
        <w:t xml:space="preserve"> to explore their research question. The team performed their analyses in RStudio. First, the team applied data cleaning methods to ensure that their datasets were in the correct, most efficient format for usage. This included ensuring the data was of the </w:t>
      </w:r>
      <w:r>
        <w:rPr>
          <w:rFonts w:ascii="Times New Roman" w:eastAsia="Times New Roman" w:hAnsi="Times New Roman" w:cs="Times New Roman"/>
          <w:sz w:val="24"/>
          <w:szCs w:val="24"/>
        </w:rPr>
        <w:t>correct class, headings were in a format that was easy to reference throughout the code, and that the dates and timelines were correct and consistent amongst the datasets. From here, the team used preliminary data analysis techniques such as displaying sum</w:t>
      </w:r>
      <w:r>
        <w:rPr>
          <w:rFonts w:ascii="Times New Roman" w:eastAsia="Times New Roman" w:hAnsi="Times New Roman" w:cs="Times New Roman"/>
          <w:sz w:val="24"/>
          <w:szCs w:val="24"/>
        </w:rPr>
        <w:t xml:space="preserve">mary statistics and plotting the changes in close price of each of the securities in their portfolio over the </w:t>
      </w:r>
      <w:proofErr w:type="gramStart"/>
      <w:r>
        <w:rPr>
          <w:rFonts w:ascii="Times New Roman" w:eastAsia="Times New Roman" w:hAnsi="Times New Roman" w:cs="Times New Roman"/>
          <w:sz w:val="24"/>
          <w:szCs w:val="24"/>
        </w:rPr>
        <w:t>10 year</w:t>
      </w:r>
      <w:proofErr w:type="gramEnd"/>
      <w:r>
        <w:rPr>
          <w:rFonts w:ascii="Times New Roman" w:eastAsia="Times New Roman" w:hAnsi="Times New Roman" w:cs="Times New Roman"/>
          <w:sz w:val="24"/>
          <w:szCs w:val="24"/>
        </w:rPr>
        <w:t xml:space="preserve"> timeline. These methods are helpful for the team to get a quick look at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selected stocks over time and verify that the</w:t>
      </w:r>
      <w:r>
        <w:rPr>
          <w:rFonts w:ascii="Times New Roman" w:eastAsia="Times New Roman" w:hAnsi="Times New Roman" w:cs="Times New Roman"/>
          <w:sz w:val="24"/>
          <w:szCs w:val="24"/>
        </w:rPr>
        <w:t xml:space="preserve">ir performance grew over the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xml:space="preserve"> of interest. Additional analysis was done using investment and regression techniques. The team looked at investing set amounts of money into each of the portfolios to determine how much they would have at the end of</w:t>
      </w:r>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xml:space="preserve">. Regression analysis was used to plot log returns and compare the team’s portfolio to the SPY. Finally, the team used clustering methods to identify the groups of similar objects in the datasets </w:t>
      </w:r>
      <w:r>
        <w:rPr>
          <w:rFonts w:ascii="Times New Roman" w:eastAsia="Times New Roman" w:hAnsi="Times New Roman" w:cs="Times New Roman"/>
          <w:sz w:val="24"/>
          <w:szCs w:val="24"/>
        </w:rPr>
        <w:lastRenderedPageBreak/>
        <w:t>to further compare the team’s selected stock</w:t>
      </w:r>
      <w:r>
        <w:rPr>
          <w:rFonts w:ascii="Times New Roman" w:eastAsia="Times New Roman" w:hAnsi="Times New Roman" w:cs="Times New Roman"/>
          <w:sz w:val="24"/>
          <w:szCs w:val="24"/>
        </w:rPr>
        <w:t>s against the popular indices. Each of these mentioned methods was important in obtaining results which helped the team to come to their conclusions within this report.</w:t>
      </w:r>
    </w:p>
    <w:p w14:paraId="05E62327" w14:textId="77777777" w:rsidR="004F511E" w:rsidRDefault="004F511E">
      <w:pPr>
        <w:shd w:val="clear" w:color="auto" w:fill="FFFFFF"/>
        <w:spacing w:line="240" w:lineRule="auto"/>
        <w:rPr>
          <w:rFonts w:ascii="Times New Roman" w:eastAsia="Times New Roman" w:hAnsi="Times New Roman" w:cs="Times New Roman"/>
          <w:b/>
          <w:sz w:val="24"/>
          <w:szCs w:val="24"/>
          <w:u w:val="single"/>
        </w:rPr>
      </w:pPr>
    </w:p>
    <w:p w14:paraId="68DF44AA" w14:textId="77777777" w:rsidR="004F511E" w:rsidRDefault="00FC4F1F">
      <w:pPr>
        <w:shd w:val="clear" w:color="auto" w:fill="FFFFFF"/>
        <w:spacing w:after="200" w:line="240" w:lineRule="auto"/>
        <w:rPr>
          <w:rFonts w:ascii="Times New Roman" w:eastAsia="Times New Roman" w:hAnsi="Times New Roman" w:cs="Times New Roman"/>
          <w:i/>
          <w:color w:val="2D3B45"/>
          <w:sz w:val="28"/>
          <w:szCs w:val="28"/>
        </w:rPr>
      </w:pPr>
      <w:r>
        <w:rPr>
          <w:rFonts w:ascii="Times New Roman" w:eastAsia="Times New Roman" w:hAnsi="Times New Roman" w:cs="Times New Roman"/>
          <w:b/>
          <w:sz w:val="28"/>
          <w:szCs w:val="28"/>
          <w:u w:val="single"/>
        </w:rPr>
        <w:t>Results</w:t>
      </w:r>
    </w:p>
    <w:p w14:paraId="585A221F"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The team used the methods described in the previous section to carry out an an</w:t>
      </w:r>
      <w:r>
        <w:rPr>
          <w:rFonts w:ascii="Times New Roman" w:eastAsia="Times New Roman" w:hAnsi="Times New Roman" w:cs="Times New Roman"/>
          <w:color w:val="2D3B45"/>
          <w:sz w:val="24"/>
          <w:szCs w:val="24"/>
        </w:rPr>
        <w:t xml:space="preserve">alysis on the datasets and to answer their research question. In this section, the results obtained from the analysis will be presented and discussed. </w:t>
      </w:r>
    </w:p>
    <w:p w14:paraId="14DBDC7A"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The first step the team took to analyze the data after loading the datasets in R was plotting the relationship between close price and the date over the last 10 years to get a better idea of each individual stock’s performance in the selected portfolio. By</w:t>
      </w:r>
      <w:r>
        <w:rPr>
          <w:rFonts w:ascii="Times New Roman" w:eastAsia="Times New Roman" w:hAnsi="Times New Roman" w:cs="Times New Roman"/>
          <w:color w:val="2D3B45"/>
          <w:sz w:val="24"/>
          <w:szCs w:val="24"/>
        </w:rPr>
        <w:t xml:space="preserve"> comparing this portfolio's data to the benchmark indices such as SPY and DIA, preliminary assumptions can be made about their performance. Graphs showing the individual performance of each of the stocks across all sectors can be seen in the figure below. </w:t>
      </w:r>
      <w:r>
        <w:rPr>
          <w:rFonts w:ascii="Times New Roman" w:eastAsia="Times New Roman" w:hAnsi="Times New Roman" w:cs="Times New Roman"/>
          <w:noProof/>
          <w:color w:val="2D3B45"/>
          <w:sz w:val="24"/>
          <w:szCs w:val="24"/>
        </w:rPr>
        <w:drawing>
          <wp:inline distT="114300" distB="114300" distL="114300" distR="114300" wp14:anchorId="481219E8" wp14:editId="7978A40E">
            <wp:extent cx="5919788" cy="2950586"/>
            <wp:effectExtent l="12700" t="12700" r="12700" b="127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19788" cy="2950586"/>
                    </a:xfrm>
                    <a:prstGeom prst="rect">
                      <a:avLst/>
                    </a:prstGeom>
                    <a:ln w="12700">
                      <a:solidFill>
                        <a:srgbClr val="000000"/>
                      </a:solidFill>
                      <a:prstDash val="solid"/>
                    </a:ln>
                  </pic:spPr>
                </pic:pic>
              </a:graphicData>
            </a:graphic>
          </wp:inline>
        </w:drawing>
      </w:r>
    </w:p>
    <w:p w14:paraId="51A5E64C"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4: Close price for 11 selected stocks over 10 years</w:t>
      </w:r>
    </w:p>
    <w:p w14:paraId="6480D15E"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lastRenderedPageBreak/>
        <w:t xml:space="preserve">From the above graphs, we can see that </w:t>
      </w:r>
      <w:proofErr w:type="gramStart"/>
      <w:r>
        <w:rPr>
          <w:rFonts w:ascii="Times New Roman" w:eastAsia="Times New Roman" w:hAnsi="Times New Roman" w:cs="Times New Roman"/>
          <w:color w:val="2D3B45"/>
          <w:sz w:val="24"/>
          <w:szCs w:val="24"/>
        </w:rPr>
        <w:t>all of</w:t>
      </w:r>
      <w:proofErr w:type="gramEnd"/>
      <w:r>
        <w:rPr>
          <w:rFonts w:ascii="Times New Roman" w:eastAsia="Times New Roman" w:hAnsi="Times New Roman" w:cs="Times New Roman"/>
          <w:color w:val="2D3B45"/>
          <w:sz w:val="24"/>
          <w:szCs w:val="24"/>
        </w:rPr>
        <w:t xml:space="preserve"> the selected companies have grown in the last decade, with only major falls in close price occurring for ExxonMobil (XOM) and Boeing (BA). These fall</w:t>
      </w:r>
      <w:r>
        <w:rPr>
          <w:rFonts w:ascii="Times New Roman" w:eastAsia="Times New Roman" w:hAnsi="Times New Roman" w:cs="Times New Roman"/>
          <w:color w:val="2D3B45"/>
          <w:sz w:val="24"/>
          <w:szCs w:val="24"/>
        </w:rPr>
        <w:t>s can be seen between the years 2020-2021 which is synonymous with the beginning of the COVID-19 pandemic. While this is an interesting phenomenon, the team has determined that this is not telling of the overall performance of the stocks as an increase was</w:t>
      </w:r>
      <w:r>
        <w:rPr>
          <w:rFonts w:ascii="Times New Roman" w:eastAsia="Times New Roman" w:hAnsi="Times New Roman" w:cs="Times New Roman"/>
          <w:color w:val="2D3B45"/>
          <w:sz w:val="24"/>
          <w:szCs w:val="24"/>
        </w:rPr>
        <w:t xml:space="preserve"> seen following the “end” of the pandemic. Therefore, the team opted to keep these companies in their analysis.</w:t>
      </w:r>
    </w:p>
    <w:p w14:paraId="3CECE23C"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Next, the team looked at the summary statistics of each of the datasets to show a direct comparison of the distributions of the data. The summary statistics of the </w:t>
      </w:r>
      <w:proofErr w:type="gramStart"/>
      <w:r>
        <w:rPr>
          <w:rFonts w:ascii="Times New Roman" w:eastAsia="Times New Roman" w:hAnsi="Times New Roman" w:cs="Times New Roman"/>
          <w:color w:val="2D3B45"/>
          <w:sz w:val="24"/>
          <w:szCs w:val="24"/>
        </w:rPr>
        <w:t>stocks</w:t>
      </w:r>
      <w:proofErr w:type="gramEnd"/>
      <w:r>
        <w:rPr>
          <w:rFonts w:ascii="Times New Roman" w:eastAsia="Times New Roman" w:hAnsi="Times New Roman" w:cs="Times New Roman"/>
          <w:color w:val="2D3B45"/>
          <w:sz w:val="24"/>
          <w:szCs w:val="24"/>
        </w:rPr>
        <w:t xml:space="preserve"> prices, log returns, indices are shown below. </w:t>
      </w:r>
    </w:p>
    <w:p w14:paraId="66AFDE87"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243AB7EE" wp14:editId="7BAEEF43">
            <wp:extent cx="5943600" cy="2095500"/>
            <wp:effectExtent l="12700" t="12700" r="12700" b="1270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943600" cy="2095500"/>
                    </a:xfrm>
                    <a:prstGeom prst="rect">
                      <a:avLst/>
                    </a:prstGeom>
                    <a:ln w="12700">
                      <a:solidFill>
                        <a:srgbClr val="000000"/>
                      </a:solidFill>
                      <a:prstDash val="solid"/>
                    </a:ln>
                  </pic:spPr>
                </pic:pic>
              </a:graphicData>
            </a:graphic>
          </wp:inline>
        </w:drawing>
      </w:r>
    </w:p>
    <w:p w14:paraId="03F8CCDE" w14:textId="77777777" w:rsidR="004F511E" w:rsidRDefault="00FC4F1F">
      <w:pPr>
        <w:shd w:val="clear" w:color="auto" w:fill="FFFFFF"/>
        <w:spacing w:line="24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5: Summary of stock prices</w:t>
      </w:r>
    </w:p>
    <w:p w14:paraId="7AD822BB" w14:textId="77777777" w:rsidR="004F511E" w:rsidRDefault="004F511E">
      <w:pPr>
        <w:shd w:val="clear" w:color="auto" w:fill="FFFFFF"/>
        <w:spacing w:line="240" w:lineRule="auto"/>
        <w:jc w:val="center"/>
        <w:rPr>
          <w:rFonts w:ascii="Times New Roman" w:eastAsia="Times New Roman" w:hAnsi="Times New Roman" w:cs="Times New Roman"/>
          <w:color w:val="2D3B45"/>
          <w:sz w:val="24"/>
          <w:szCs w:val="24"/>
        </w:rPr>
      </w:pPr>
    </w:p>
    <w:p w14:paraId="50B96814"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011DDA53" wp14:editId="714D54BA">
            <wp:extent cx="5943600" cy="1841500"/>
            <wp:effectExtent l="12700" t="12700" r="12700" b="1270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5943600" cy="1841500"/>
                    </a:xfrm>
                    <a:prstGeom prst="rect">
                      <a:avLst/>
                    </a:prstGeom>
                    <a:ln w="12700">
                      <a:solidFill>
                        <a:srgbClr val="000000"/>
                      </a:solidFill>
                      <a:prstDash val="solid"/>
                    </a:ln>
                  </pic:spPr>
                </pic:pic>
              </a:graphicData>
            </a:graphic>
          </wp:inline>
        </w:drawing>
      </w:r>
    </w:p>
    <w:p w14:paraId="73DAA2C0" w14:textId="77777777" w:rsidR="004F511E" w:rsidRDefault="00FC4F1F">
      <w:pPr>
        <w:shd w:val="clear" w:color="auto" w:fill="FFFFFF"/>
        <w:spacing w:line="24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 xml:space="preserve">Figure 6: Summary of stock log returns </w:t>
      </w:r>
    </w:p>
    <w:p w14:paraId="25A297A3" w14:textId="77777777" w:rsidR="004F511E" w:rsidRDefault="004F511E">
      <w:pPr>
        <w:shd w:val="clear" w:color="auto" w:fill="FFFFFF"/>
        <w:spacing w:line="240" w:lineRule="auto"/>
        <w:jc w:val="center"/>
        <w:rPr>
          <w:rFonts w:ascii="Times New Roman" w:eastAsia="Times New Roman" w:hAnsi="Times New Roman" w:cs="Times New Roman"/>
          <w:color w:val="2D3B45"/>
          <w:sz w:val="24"/>
          <w:szCs w:val="24"/>
        </w:rPr>
      </w:pPr>
    </w:p>
    <w:p w14:paraId="69A013AA"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lastRenderedPageBreak/>
        <w:drawing>
          <wp:inline distT="114300" distB="114300" distL="114300" distR="114300" wp14:anchorId="3EB854B7" wp14:editId="4096BA23">
            <wp:extent cx="3076575" cy="1150372"/>
            <wp:effectExtent l="12700" t="12700" r="12700" b="127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3076575" cy="1150372"/>
                    </a:xfrm>
                    <a:prstGeom prst="rect">
                      <a:avLst/>
                    </a:prstGeom>
                    <a:ln w="12700">
                      <a:solidFill>
                        <a:srgbClr val="000000"/>
                      </a:solidFill>
                      <a:prstDash val="solid"/>
                    </a:ln>
                  </pic:spPr>
                </pic:pic>
              </a:graphicData>
            </a:graphic>
          </wp:inline>
        </w:drawing>
      </w:r>
    </w:p>
    <w:p w14:paraId="3D1F5D97" w14:textId="77777777" w:rsidR="004F511E" w:rsidRDefault="00FC4F1F">
      <w:pPr>
        <w:shd w:val="clear" w:color="auto" w:fill="FFFFFF"/>
        <w:spacing w:line="24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7: Summary of indices</w:t>
      </w:r>
    </w:p>
    <w:p w14:paraId="775634DB" w14:textId="77777777" w:rsidR="004F511E" w:rsidRDefault="004F511E">
      <w:pPr>
        <w:shd w:val="clear" w:color="auto" w:fill="FFFFFF"/>
        <w:spacing w:line="240" w:lineRule="auto"/>
        <w:jc w:val="center"/>
        <w:rPr>
          <w:rFonts w:ascii="Times New Roman" w:eastAsia="Times New Roman" w:hAnsi="Times New Roman" w:cs="Times New Roman"/>
          <w:i/>
          <w:color w:val="2D3B45"/>
          <w:sz w:val="24"/>
          <w:szCs w:val="24"/>
        </w:rPr>
      </w:pPr>
    </w:p>
    <w:p w14:paraId="4136AEF1"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To take the preliminary analysis a step further, the team plotted the correlation of each of the individual stocks. The outputted correlation graph between all stock prices in the da</w:t>
      </w:r>
      <w:r>
        <w:rPr>
          <w:rFonts w:ascii="Times New Roman" w:eastAsia="Times New Roman" w:hAnsi="Times New Roman" w:cs="Times New Roman"/>
          <w:color w:val="2D3B45"/>
          <w:sz w:val="24"/>
          <w:szCs w:val="24"/>
        </w:rPr>
        <w:t xml:space="preserve">ta set are shown below. </w:t>
      </w:r>
    </w:p>
    <w:p w14:paraId="69E23747" w14:textId="77777777" w:rsidR="004F511E" w:rsidRDefault="00FC4F1F">
      <w:pPr>
        <w:shd w:val="clear" w:color="auto" w:fill="FFFFFF"/>
        <w:spacing w:after="200"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716F9965" wp14:editId="615C98DF">
            <wp:extent cx="4005263" cy="3118132"/>
            <wp:effectExtent l="12700" t="12700" r="12700" b="127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4102" r="12820"/>
                    <a:stretch>
                      <a:fillRect/>
                    </a:stretch>
                  </pic:blipFill>
                  <pic:spPr>
                    <a:xfrm>
                      <a:off x="0" y="0"/>
                      <a:ext cx="4005263" cy="3118132"/>
                    </a:xfrm>
                    <a:prstGeom prst="rect">
                      <a:avLst/>
                    </a:prstGeom>
                    <a:ln w="12700">
                      <a:solidFill>
                        <a:srgbClr val="000000"/>
                      </a:solidFill>
                      <a:prstDash val="solid"/>
                    </a:ln>
                  </pic:spPr>
                </pic:pic>
              </a:graphicData>
            </a:graphic>
          </wp:inline>
        </w:drawing>
      </w:r>
    </w:p>
    <w:p w14:paraId="266F95EE"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i/>
          <w:color w:val="2D3B45"/>
          <w:sz w:val="24"/>
          <w:szCs w:val="24"/>
        </w:rPr>
        <w:t>Figure 8: Correlation between 11 stocks prices</w:t>
      </w:r>
      <w:r>
        <w:rPr>
          <w:rFonts w:ascii="Times New Roman" w:eastAsia="Times New Roman" w:hAnsi="Times New Roman" w:cs="Times New Roman"/>
          <w:color w:val="2D3B45"/>
          <w:sz w:val="24"/>
          <w:szCs w:val="24"/>
        </w:rPr>
        <w:t xml:space="preserve"> </w:t>
      </w:r>
    </w:p>
    <w:p w14:paraId="21D79DF6" w14:textId="77777777" w:rsidR="004F511E" w:rsidRDefault="004F511E">
      <w:pPr>
        <w:shd w:val="clear" w:color="auto" w:fill="FFFFFF"/>
        <w:spacing w:line="240" w:lineRule="auto"/>
        <w:jc w:val="center"/>
        <w:rPr>
          <w:rFonts w:ascii="Times New Roman" w:eastAsia="Times New Roman" w:hAnsi="Times New Roman" w:cs="Times New Roman"/>
          <w:color w:val="2D3B45"/>
          <w:sz w:val="24"/>
          <w:szCs w:val="24"/>
        </w:rPr>
      </w:pPr>
    </w:p>
    <w:p w14:paraId="67D39951"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From the above correlation plot we can say that all stocks are highly correlated. </w:t>
      </w:r>
      <w:proofErr w:type="gramStart"/>
      <w:r>
        <w:rPr>
          <w:rFonts w:ascii="Times New Roman" w:eastAsia="Times New Roman" w:hAnsi="Times New Roman" w:cs="Times New Roman"/>
          <w:color w:val="2D3B45"/>
          <w:sz w:val="24"/>
          <w:szCs w:val="24"/>
        </w:rPr>
        <w:t>All of</w:t>
      </w:r>
      <w:proofErr w:type="gramEnd"/>
      <w:r>
        <w:rPr>
          <w:rFonts w:ascii="Times New Roman" w:eastAsia="Times New Roman" w:hAnsi="Times New Roman" w:cs="Times New Roman"/>
          <w:color w:val="2D3B45"/>
          <w:sz w:val="24"/>
          <w:szCs w:val="24"/>
        </w:rPr>
        <w:t xml:space="preserve"> the companies, aside from ExxonMobil which shows a strong negative correlation with the rem</w:t>
      </w:r>
      <w:r>
        <w:rPr>
          <w:rFonts w:ascii="Times New Roman" w:eastAsia="Times New Roman" w:hAnsi="Times New Roman" w:cs="Times New Roman"/>
          <w:color w:val="2D3B45"/>
          <w:sz w:val="24"/>
          <w:szCs w:val="24"/>
        </w:rPr>
        <w:t xml:space="preserve">ainder of the companies, show a strong positive correlation with one another. This result is consistent with the graphs displayed in Figure 4 which shows the performance of the stocks. Therefore, we </w:t>
      </w:r>
      <w:proofErr w:type="gramStart"/>
      <w:r>
        <w:rPr>
          <w:rFonts w:ascii="Times New Roman" w:eastAsia="Times New Roman" w:hAnsi="Times New Roman" w:cs="Times New Roman"/>
          <w:color w:val="2D3B45"/>
          <w:sz w:val="24"/>
          <w:szCs w:val="24"/>
        </w:rPr>
        <w:t>are able to</w:t>
      </w:r>
      <w:proofErr w:type="gramEnd"/>
      <w:r>
        <w:rPr>
          <w:rFonts w:ascii="Times New Roman" w:eastAsia="Times New Roman" w:hAnsi="Times New Roman" w:cs="Times New Roman"/>
          <w:color w:val="2D3B45"/>
          <w:sz w:val="24"/>
          <w:szCs w:val="24"/>
        </w:rPr>
        <w:t xml:space="preserve"> move forward with the analysis and can safely</w:t>
      </w:r>
      <w:r>
        <w:rPr>
          <w:rFonts w:ascii="Times New Roman" w:eastAsia="Times New Roman" w:hAnsi="Times New Roman" w:cs="Times New Roman"/>
          <w:color w:val="2D3B45"/>
          <w:sz w:val="24"/>
          <w:szCs w:val="24"/>
        </w:rPr>
        <w:t xml:space="preserve"> conclude that the </w:t>
      </w:r>
      <w:r>
        <w:rPr>
          <w:rFonts w:ascii="Times New Roman" w:eastAsia="Times New Roman" w:hAnsi="Times New Roman" w:cs="Times New Roman"/>
          <w:color w:val="2D3B45"/>
          <w:sz w:val="24"/>
          <w:szCs w:val="24"/>
        </w:rPr>
        <w:lastRenderedPageBreak/>
        <w:t>portfolio that the team generated will be able to provide valuable information when compared against top performing stock indices.</w:t>
      </w:r>
    </w:p>
    <w:p w14:paraId="3BADA60C" w14:textId="77777777" w:rsidR="004F511E" w:rsidRDefault="00FC4F1F">
      <w:pPr>
        <w:shd w:val="clear" w:color="auto" w:fill="FFFFFF"/>
        <w:spacing w:line="480" w:lineRule="auto"/>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ab/>
        <w:t xml:space="preserve"> To better understand the nature of the portfolio and how well it is doing, the team compared the stocks </w:t>
      </w:r>
      <w:r>
        <w:rPr>
          <w:rFonts w:ascii="Times New Roman" w:eastAsia="Times New Roman" w:hAnsi="Times New Roman" w:cs="Times New Roman"/>
          <w:color w:val="2D3B45"/>
          <w:sz w:val="24"/>
          <w:szCs w:val="24"/>
        </w:rPr>
        <w:t>to the benchmark funds like SPY and DIA. The scatterplots shown in Figures 9 and 10 below display the close price of the eleven selected stocks in the team’s portfolio plotted against the SPY close price.</w:t>
      </w:r>
    </w:p>
    <w:p w14:paraId="0FC7EA3C"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3861937B" wp14:editId="1263A1D0">
            <wp:extent cx="5819775" cy="3971925"/>
            <wp:effectExtent l="12700" t="12700" r="12700" b="127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t="4626" r="2083"/>
                    <a:stretch>
                      <a:fillRect/>
                    </a:stretch>
                  </pic:blipFill>
                  <pic:spPr>
                    <a:xfrm>
                      <a:off x="0" y="0"/>
                      <a:ext cx="5819775" cy="3971925"/>
                    </a:xfrm>
                    <a:prstGeom prst="rect">
                      <a:avLst/>
                    </a:prstGeom>
                    <a:ln w="12700">
                      <a:solidFill>
                        <a:srgbClr val="000000"/>
                      </a:solidFill>
                      <a:prstDash val="solid"/>
                    </a:ln>
                  </pic:spPr>
                </pic:pic>
              </a:graphicData>
            </a:graphic>
          </wp:inline>
        </w:drawing>
      </w:r>
    </w:p>
    <w:p w14:paraId="0371CB67"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9: Close price of 6 selected stocks agains</w:t>
      </w:r>
      <w:r>
        <w:rPr>
          <w:rFonts w:ascii="Times New Roman" w:eastAsia="Times New Roman" w:hAnsi="Times New Roman" w:cs="Times New Roman"/>
          <w:i/>
          <w:color w:val="2D3B45"/>
          <w:sz w:val="24"/>
          <w:szCs w:val="24"/>
        </w:rPr>
        <w:t>t SPY close price</w:t>
      </w:r>
    </w:p>
    <w:p w14:paraId="3F94EC75" w14:textId="77777777" w:rsidR="004F511E" w:rsidRDefault="00FC4F1F">
      <w:pPr>
        <w:shd w:val="clear" w:color="auto" w:fill="FFFFFF"/>
        <w:spacing w:line="24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i/>
          <w:noProof/>
          <w:color w:val="2D3B45"/>
          <w:sz w:val="24"/>
          <w:szCs w:val="24"/>
        </w:rPr>
        <w:lastRenderedPageBreak/>
        <w:drawing>
          <wp:inline distT="114300" distB="114300" distL="114300" distR="114300" wp14:anchorId="13437105" wp14:editId="1D539919">
            <wp:extent cx="5819775" cy="3857625"/>
            <wp:effectExtent l="12700" t="12700" r="12700" b="127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5152" r="2083"/>
                    <a:stretch>
                      <a:fillRect/>
                    </a:stretch>
                  </pic:blipFill>
                  <pic:spPr>
                    <a:xfrm>
                      <a:off x="0" y="0"/>
                      <a:ext cx="5819775" cy="3857625"/>
                    </a:xfrm>
                    <a:prstGeom prst="rect">
                      <a:avLst/>
                    </a:prstGeom>
                    <a:ln w="12700">
                      <a:solidFill>
                        <a:srgbClr val="000000"/>
                      </a:solidFill>
                      <a:prstDash val="solid"/>
                    </a:ln>
                  </pic:spPr>
                </pic:pic>
              </a:graphicData>
            </a:graphic>
          </wp:inline>
        </w:drawing>
      </w:r>
    </w:p>
    <w:p w14:paraId="4F402DA1" w14:textId="77777777" w:rsidR="004F511E" w:rsidRDefault="00FC4F1F">
      <w:pPr>
        <w:shd w:val="clear" w:color="auto" w:fill="FFFFFF"/>
        <w:spacing w:line="48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i/>
          <w:color w:val="2D3B45"/>
          <w:sz w:val="24"/>
          <w:szCs w:val="24"/>
        </w:rPr>
        <w:t>Figure 10: Close price of remaining 5 selected stocks against SPY close price</w:t>
      </w:r>
    </w:p>
    <w:p w14:paraId="6C234D41" w14:textId="77777777" w:rsidR="004F511E" w:rsidRDefault="00FC4F1F">
      <w:pPr>
        <w:shd w:val="clear" w:color="auto" w:fill="FFFFFF"/>
        <w:spacing w:line="480" w:lineRule="auto"/>
        <w:ind w:firstLine="720"/>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4"/>
          <w:szCs w:val="24"/>
        </w:rPr>
        <w:t xml:space="preserve">Looking at the distributions of the close prices of each of the stocks in the team’s portfolio, </w:t>
      </w:r>
      <w:proofErr w:type="gramStart"/>
      <w:r>
        <w:rPr>
          <w:rFonts w:ascii="Times New Roman" w:eastAsia="Times New Roman" w:hAnsi="Times New Roman" w:cs="Times New Roman"/>
          <w:color w:val="2D3B45"/>
          <w:sz w:val="24"/>
          <w:szCs w:val="24"/>
        </w:rPr>
        <w:t>it can be seen that there</w:t>
      </w:r>
      <w:proofErr w:type="gramEnd"/>
      <w:r>
        <w:rPr>
          <w:rFonts w:ascii="Times New Roman" w:eastAsia="Times New Roman" w:hAnsi="Times New Roman" w:cs="Times New Roman"/>
          <w:color w:val="2D3B45"/>
          <w:sz w:val="24"/>
          <w:szCs w:val="24"/>
        </w:rPr>
        <w:t xml:space="preserve"> is a strong correlation between all of the individual stocks closing prices and the SPY closing prices aside from ExxonMobil. As afore</w:t>
      </w:r>
      <w:r>
        <w:rPr>
          <w:rFonts w:ascii="Times New Roman" w:eastAsia="Times New Roman" w:hAnsi="Times New Roman" w:cs="Times New Roman"/>
          <w:color w:val="2D3B45"/>
          <w:sz w:val="24"/>
          <w:szCs w:val="24"/>
        </w:rPr>
        <w:t xml:space="preserve">mentioned, this result is expected due to the nature of the closing prices over time. Additionally, the correlation seems to be in the negative direction, which is also expected based on the correlation results within the team’s portfolio in Figure 8. The </w:t>
      </w:r>
      <w:r>
        <w:rPr>
          <w:rFonts w:ascii="Times New Roman" w:eastAsia="Times New Roman" w:hAnsi="Times New Roman" w:cs="Times New Roman"/>
          <w:color w:val="2D3B45"/>
          <w:sz w:val="24"/>
          <w:szCs w:val="24"/>
        </w:rPr>
        <w:t xml:space="preserve">team also plotted monthly log returns for each individual stock which can be seen in the Appendix section. </w:t>
      </w:r>
    </w:p>
    <w:p w14:paraId="2157B9AA"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D3B45"/>
          <w:sz w:val="24"/>
          <w:szCs w:val="24"/>
        </w:rPr>
        <w:tab/>
      </w:r>
    </w:p>
    <w:p w14:paraId="3D7A7CC2"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B25041D" wp14:editId="461B9092">
            <wp:extent cx="3986213" cy="3265302"/>
            <wp:effectExtent l="12700" t="12700" r="12700" b="127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3986213" cy="3265302"/>
                    </a:xfrm>
                    <a:prstGeom prst="rect">
                      <a:avLst/>
                    </a:prstGeom>
                    <a:ln w="12700">
                      <a:solidFill>
                        <a:srgbClr val="000000"/>
                      </a:solidFill>
                      <a:prstDash val="solid"/>
                    </a:ln>
                  </pic:spPr>
                </pic:pic>
              </a:graphicData>
            </a:graphic>
          </wp:inline>
        </w:drawing>
      </w:r>
    </w:p>
    <w:p w14:paraId="1F10FBB1" w14:textId="77777777" w:rsidR="004F511E" w:rsidRDefault="00FC4F1F">
      <w:pP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11: Sum of squares vs. Number of groups</w:t>
      </w:r>
    </w:p>
    <w:p w14:paraId="69946747"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Analyzing the above graph from right to left, we can see that the distance between the sum of squares within a group </w:t>
      </w:r>
      <w:proofErr w:type="gramStart"/>
      <w:r>
        <w:rPr>
          <w:rFonts w:ascii="Times New Roman" w:eastAsia="Times New Roman" w:hAnsi="Times New Roman" w:cs="Times New Roman"/>
          <w:sz w:val="24"/>
          <w:szCs w:val="24"/>
        </w:rPr>
        <w:t>increases</w:t>
      </w:r>
      <w:proofErr w:type="gramEnd"/>
      <w:r>
        <w:rPr>
          <w:rFonts w:ascii="Times New Roman" w:eastAsia="Times New Roman" w:hAnsi="Times New Roman" w:cs="Times New Roman"/>
          <w:sz w:val="24"/>
          <w:szCs w:val="24"/>
        </w:rPr>
        <w:t xml:space="preserve">. That proves that there is reduction in the clustering. And the below graph shows </w:t>
      </w:r>
      <w:proofErr w:type="gramStart"/>
      <w:r>
        <w:rPr>
          <w:rFonts w:ascii="Times New Roman" w:eastAsia="Times New Roman" w:hAnsi="Times New Roman" w:cs="Times New Roman"/>
          <w:sz w:val="24"/>
          <w:szCs w:val="24"/>
        </w:rPr>
        <w:t>the final result</w:t>
      </w:r>
      <w:proofErr w:type="gramEnd"/>
      <w:r>
        <w:rPr>
          <w:rFonts w:ascii="Times New Roman" w:eastAsia="Times New Roman" w:hAnsi="Times New Roman" w:cs="Times New Roman"/>
          <w:sz w:val="24"/>
          <w:szCs w:val="24"/>
        </w:rPr>
        <w:t xml:space="preserve"> of the clustering. </w:t>
      </w:r>
    </w:p>
    <w:p w14:paraId="7D4AEE8C"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A86082F" wp14:editId="72F4B010">
            <wp:extent cx="3667125" cy="2709863"/>
            <wp:effectExtent l="12700" t="12700" r="12700" b="1270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3667125" cy="2709863"/>
                    </a:xfrm>
                    <a:prstGeom prst="rect">
                      <a:avLst/>
                    </a:prstGeom>
                    <a:ln w="12700">
                      <a:solidFill>
                        <a:srgbClr val="000000"/>
                      </a:solidFill>
                      <a:prstDash val="solid"/>
                    </a:ln>
                  </pic:spPr>
                </pic:pic>
              </a:graphicData>
            </a:graphic>
          </wp:inline>
        </w:drawing>
      </w:r>
    </w:p>
    <w:p w14:paraId="3EAE764F" w14:textId="77777777" w:rsidR="004F511E" w:rsidRDefault="00FC4F1F">
      <w:pP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w:t>
      </w:r>
      <w:r>
        <w:rPr>
          <w:rFonts w:ascii="Times New Roman" w:eastAsia="Times New Roman" w:hAnsi="Times New Roman" w:cs="Times New Roman"/>
          <w:i/>
          <w:sz w:val="24"/>
          <w:szCs w:val="24"/>
        </w:rPr>
        <w:t>2: Clusters Silhouette Plot</w:t>
      </w:r>
    </w:p>
    <w:p w14:paraId="45FD7B82"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0135079" wp14:editId="7002F2C4">
            <wp:extent cx="3829050" cy="3254229"/>
            <wp:effectExtent l="12700" t="12700" r="12700" b="127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829050" cy="3254229"/>
                    </a:xfrm>
                    <a:prstGeom prst="rect">
                      <a:avLst/>
                    </a:prstGeom>
                    <a:ln w="12700">
                      <a:solidFill>
                        <a:srgbClr val="000000"/>
                      </a:solidFill>
                      <a:prstDash val="solid"/>
                    </a:ln>
                  </pic:spPr>
                </pic:pic>
              </a:graphicData>
            </a:graphic>
          </wp:inline>
        </w:drawing>
      </w:r>
    </w:p>
    <w:p w14:paraId="2877F6A8" w14:textId="77777777" w:rsidR="004F511E" w:rsidRDefault="00FC4F1F">
      <w:pP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13: Clustering Analysis with forward P/E ratio, price/sales, and price/book</w:t>
      </w:r>
    </w:p>
    <w:p w14:paraId="1D3E4900" w14:textId="77777777" w:rsidR="004F511E" w:rsidRDefault="00FC4F1F">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above graph is for the clustering analysis using the parameters of Forward P/E ratio, Price/</w:t>
      </w:r>
      <w:proofErr w:type="gramStart"/>
      <w:r>
        <w:rPr>
          <w:rFonts w:ascii="Times New Roman" w:eastAsia="Times New Roman" w:hAnsi="Times New Roman" w:cs="Times New Roman"/>
          <w:sz w:val="24"/>
          <w:szCs w:val="24"/>
        </w:rPr>
        <w:t>sales</w:t>
      </w:r>
      <w:proofErr w:type="gramEnd"/>
      <w:r>
        <w:rPr>
          <w:rFonts w:ascii="Times New Roman" w:eastAsia="Times New Roman" w:hAnsi="Times New Roman" w:cs="Times New Roman"/>
          <w:sz w:val="24"/>
          <w:szCs w:val="24"/>
        </w:rPr>
        <w:t xml:space="preserve"> and price/book. The purpose of this char</w:t>
      </w:r>
      <w:r>
        <w:rPr>
          <w:rFonts w:ascii="Times New Roman" w:eastAsia="Times New Roman" w:hAnsi="Times New Roman" w:cs="Times New Roman"/>
          <w:sz w:val="24"/>
          <w:szCs w:val="24"/>
        </w:rPr>
        <w:t>t is to determine the patterns in the data. The low values for the three ratios are as expected since we are analyzing the top performing stocks in each sector.</w:t>
      </w:r>
    </w:p>
    <w:p w14:paraId="798340CA"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284DFA" wp14:editId="71444490">
            <wp:extent cx="3362325" cy="2545556"/>
            <wp:effectExtent l="12700" t="12700" r="12700" b="127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362325" cy="2545556"/>
                    </a:xfrm>
                    <a:prstGeom prst="rect">
                      <a:avLst/>
                    </a:prstGeom>
                    <a:ln w="12700">
                      <a:solidFill>
                        <a:srgbClr val="000000"/>
                      </a:solidFill>
                      <a:prstDash val="solid"/>
                    </a:ln>
                  </pic:spPr>
                </pic:pic>
              </a:graphicData>
            </a:graphic>
          </wp:inline>
        </w:drawing>
      </w:r>
    </w:p>
    <w:p w14:paraId="3B5983A3" w14:textId="77777777" w:rsidR="004F511E" w:rsidRDefault="00FC4F1F">
      <w:pP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14: Sum of squares within a group vs. Number of groups, adjusted</w:t>
      </w:r>
    </w:p>
    <w:p w14:paraId="741BE099"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0732DC" wp14:editId="26370727">
            <wp:extent cx="3795713" cy="2686050"/>
            <wp:effectExtent l="12700" t="12700" r="12700" b="127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795713" cy="2686050"/>
                    </a:xfrm>
                    <a:prstGeom prst="rect">
                      <a:avLst/>
                    </a:prstGeom>
                    <a:ln w="12700">
                      <a:solidFill>
                        <a:srgbClr val="000000"/>
                      </a:solidFill>
                      <a:prstDash val="solid"/>
                    </a:ln>
                  </pic:spPr>
                </pic:pic>
              </a:graphicData>
            </a:graphic>
          </wp:inline>
        </w:drawing>
      </w:r>
    </w:p>
    <w:p w14:paraId="6C844C5C"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15: Clusters</w:t>
      </w:r>
      <w:r>
        <w:rPr>
          <w:rFonts w:ascii="Times New Roman" w:eastAsia="Times New Roman" w:hAnsi="Times New Roman" w:cs="Times New Roman"/>
          <w:i/>
          <w:sz w:val="24"/>
          <w:szCs w:val="24"/>
        </w:rPr>
        <w:t xml:space="preserve"> silhouette plot, adjusted</w:t>
      </w:r>
    </w:p>
    <w:p w14:paraId="2A724C26" w14:textId="77777777" w:rsidR="004F511E" w:rsidRDefault="00FC4F1F">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graphs seen in Figures 14 and 15 are for the same parameters, however, the silhouette plot width was adjusted by 0.32.</w:t>
      </w:r>
    </w:p>
    <w:p w14:paraId="7DE028D7" w14:textId="77777777" w:rsidR="004F511E" w:rsidRDefault="00FC4F1F">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1A25DB" wp14:editId="0E2B0F5D">
            <wp:extent cx="4667250" cy="3749681"/>
            <wp:effectExtent l="12700" t="12700" r="12700" b="1270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4667250" cy="3749681"/>
                    </a:xfrm>
                    <a:prstGeom prst="rect">
                      <a:avLst/>
                    </a:prstGeom>
                    <a:ln w="12700">
                      <a:solidFill>
                        <a:srgbClr val="000000"/>
                      </a:solidFill>
                      <a:prstDash val="solid"/>
                    </a:ln>
                  </pic:spPr>
                </pic:pic>
              </a:graphicData>
            </a:graphic>
          </wp:inline>
        </w:drawing>
      </w:r>
    </w:p>
    <w:p w14:paraId="1B8BB48C" w14:textId="77777777" w:rsidR="004F511E" w:rsidRDefault="00FC4F1F">
      <w:pP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16: Clustering Analysis with forward P/E ratio, price/sales, and price/book, adjusted</w:t>
      </w:r>
    </w:p>
    <w:p w14:paraId="599A1CD3" w14:textId="77777777" w:rsidR="004F511E" w:rsidRDefault="00FC4F1F">
      <w:pPr>
        <w:shd w:val="clear" w:color="auto" w:fill="FFFFFF"/>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The purpose</w:t>
      </w:r>
      <w:r>
        <w:rPr>
          <w:rFonts w:ascii="Times New Roman" w:eastAsia="Times New Roman" w:hAnsi="Times New Roman" w:cs="Times New Roman"/>
          <w:sz w:val="24"/>
          <w:szCs w:val="24"/>
        </w:rPr>
        <w:t xml:space="preserve"> of this chart is to determine the patterns in the data. From the graph we can visualize the return based on the 3 parameters. How these parameters affect the change of the stock price. </w:t>
      </w:r>
    </w:p>
    <w:p w14:paraId="0850ACD0" w14:textId="77777777" w:rsidR="004F511E" w:rsidRDefault="00FC4F1F">
      <w:pPr>
        <w:shd w:val="clear" w:color="auto" w:fill="FFFFFF"/>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an additional method of analysis, the team </w:t>
      </w:r>
      <w:proofErr w:type="gramStart"/>
      <w:r>
        <w:rPr>
          <w:rFonts w:ascii="Times New Roman" w:eastAsia="Times New Roman" w:hAnsi="Times New Roman" w:cs="Times New Roman"/>
          <w:sz w:val="24"/>
          <w:szCs w:val="24"/>
          <w:highlight w:val="white"/>
        </w:rPr>
        <w:t>looked into</w:t>
      </w:r>
      <w:proofErr w:type="gramEnd"/>
      <w:r>
        <w:rPr>
          <w:rFonts w:ascii="Times New Roman" w:eastAsia="Times New Roman" w:hAnsi="Times New Roman" w:cs="Times New Roman"/>
          <w:sz w:val="24"/>
          <w:szCs w:val="24"/>
          <w:highlight w:val="white"/>
        </w:rPr>
        <w:t xml:space="preserve"> different i</w:t>
      </w:r>
      <w:r>
        <w:rPr>
          <w:rFonts w:ascii="Times New Roman" w:eastAsia="Times New Roman" w:hAnsi="Times New Roman" w:cs="Times New Roman"/>
          <w:sz w:val="24"/>
          <w:szCs w:val="24"/>
          <w:highlight w:val="white"/>
        </w:rPr>
        <w:t xml:space="preserve">nvestment strategies with their portfolio and the two chosen stock indices. This was done with an equally weighted portfolio in which the team divided a sum of $1,000,000 equally among these 11 companies and invested it </w:t>
      </w:r>
      <w:proofErr w:type="gramStart"/>
      <w:r>
        <w:rPr>
          <w:rFonts w:ascii="Times New Roman" w:eastAsia="Times New Roman" w:hAnsi="Times New Roman" w:cs="Times New Roman"/>
          <w:sz w:val="24"/>
          <w:szCs w:val="24"/>
          <w:highlight w:val="white"/>
        </w:rPr>
        <w:t>on the basis of</w:t>
      </w:r>
      <w:proofErr w:type="gramEnd"/>
      <w:r>
        <w:rPr>
          <w:rFonts w:ascii="Times New Roman" w:eastAsia="Times New Roman" w:hAnsi="Times New Roman" w:cs="Times New Roman"/>
          <w:sz w:val="24"/>
          <w:szCs w:val="24"/>
          <w:highlight w:val="white"/>
        </w:rPr>
        <w:t xml:space="preserve"> closing price as on </w:t>
      </w:r>
      <w:r>
        <w:rPr>
          <w:rFonts w:ascii="Times New Roman" w:eastAsia="Times New Roman" w:hAnsi="Times New Roman" w:cs="Times New Roman"/>
          <w:sz w:val="24"/>
          <w:szCs w:val="24"/>
          <w:highlight w:val="white"/>
        </w:rPr>
        <w:t xml:space="preserve">Nov 2011. We found that our portfolio would have grown nearly 8 folds amassing a net worth nearly $8,000,000. If we would have invested 1 </w:t>
      </w:r>
      <w:proofErr w:type="gramStart"/>
      <w:r>
        <w:rPr>
          <w:rFonts w:ascii="Times New Roman" w:eastAsia="Times New Roman" w:hAnsi="Times New Roman" w:cs="Times New Roman"/>
          <w:sz w:val="24"/>
          <w:szCs w:val="24"/>
          <w:highlight w:val="white"/>
        </w:rPr>
        <w:t>Million</w:t>
      </w:r>
      <w:proofErr w:type="gramEnd"/>
      <w:r>
        <w:rPr>
          <w:rFonts w:ascii="Times New Roman" w:eastAsia="Times New Roman" w:hAnsi="Times New Roman" w:cs="Times New Roman"/>
          <w:sz w:val="24"/>
          <w:szCs w:val="24"/>
          <w:highlight w:val="white"/>
        </w:rPr>
        <w:t xml:space="preserve"> into SPY, we would have got $2.98 Million by now. If we would have invested 1 </w:t>
      </w:r>
      <w:proofErr w:type="gramStart"/>
      <w:r>
        <w:rPr>
          <w:rFonts w:ascii="Times New Roman" w:eastAsia="Times New Roman" w:hAnsi="Times New Roman" w:cs="Times New Roman"/>
          <w:sz w:val="24"/>
          <w:szCs w:val="24"/>
          <w:highlight w:val="white"/>
        </w:rPr>
        <w:t>Million</w:t>
      </w:r>
      <w:proofErr w:type="gramEnd"/>
      <w:r>
        <w:rPr>
          <w:rFonts w:ascii="Times New Roman" w:eastAsia="Times New Roman" w:hAnsi="Times New Roman" w:cs="Times New Roman"/>
          <w:sz w:val="24"/>
          <w:szCs w:val="24"/>
          <w:highlight w:val="white"/>
        </w:rPr>
        <w:t xml:space="preserve"> into DIA, we would have </w:t>
      </w:r>
      <w:r>
        <w:rPr>
          <w:rFonts w:ascii="Times New Roman" w:eastAsia="Times New Roman" w:hAnsi="Times New Roman" w:cs="Times New Roman"/>
          <w:sz w:val="24"/>
          <w:szCs w:val="24"/>
          <w:highlight w:val="white"/>
        </w:rPr>
        <w:t>got $3.67 Million by now. The methods for completing this analysis can be seen in Figure 17, 18, and 19 below.</w:t>
      </w:r>
    </w:p>
    <w:p w14:paraId="1A025918" w14:textId="77777777" w:rsidR="004F511E" w:rsidRDefault="00FC4F1F">
      <w:pPr>
        <w:shd w:val="clear" w:color="auto" w:fill="FFFFFF"/>
        <w:spacing w:line="480" w:lineRule="auto"/>
        <w:jc w:val="cente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24F91D3B" wp14:editId="03E32DFD">
            <wp:extent cx="5076825" cy="3701655"/>
            <wp:effectExtent l="12700" t="12700" r="12700" b="127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076825" cy="3701655"/>
                    </a:xfrm>
                    <a:prstGeom prst="rect">
                      <a:avLst/>
                    </a:prstGeom>
                    <a:ln w="12700">
                      <a:solidFill>
                        <a:srgbClr val="000000"/>
                      </a:solidFill>
                      <a:prstDash val="solid"/>
                    </a:ln>
                  </pic:spPr>
                </pic:pic>
              </a:graphicData>
            </a:graphic>
          </wp:inline>
        </w:drawing>
      </w:r>
    </w:p>
    <w:p w14:paraId="6720A3AA"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17: Investment strategy for the team’s portfolio</w:t>
      </w:r>
    </w:p>
    <w:p w14:paraId="6A33A891"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noProof/>
          <w:color w:val="2D3B45"/>
          <w:sz w:val="24"/>
          <w:szCs w:val="24"/>
        </w:rPr>
        <w:lastRenderedPageBreak/>
        <w:drawing>
          <wp:inline distT="114300" distB="114300" distL="114300" distR="114300" wp14:anchorId="3D67F650" wp14:editId="586125C4">
            <wp:extent cx="5114925" cy="2203917"/>
            <wp:effectExtent l="12700" t="12700" r="12700" b="127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114925" cy="2203917"/>
                    </a:xfrm>
                    <a:prstGeom prst="rect">
                      <a:avLst/>
                    </a:prstGeom>
                    <a:ln w="12700">
                      <a:solidFill>
                        <a:srgbClr val="000000"/>
                      </a:solidFill>
                      <a:prstDash val="solid"/>
                    </a:ln>
                  </pic:spPr>
                </pic:pic>
              </a:graphicData>
            </a:graphic>
          </wp:inline>
        </w:drawing>
      </w:r>
    </w:p>
    <w:p w14:paraId="5AD6AD86"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18: Investment projection using the SPY</w:t>
      </w:r>
    </w:p>
    <w:p w14:paraId="78CBC844" w14:textId="77777777" w:rsidR="004F511E" w:rsidRDefault="00FC4F1F">
      <w:pPr>
        <w:shd w:val="clear" w:color="auto" w:fill="FFFFFF"/>
        <w:spacing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noProof/>
          <w:color w:val="2D3B45"/>
          <w:sz w:val="24"/>
          <w:szCs w:val="24"/>
        </w:rPr>
        <w:drawing>
          <wp:inline distT="114300" distB="114300" distL="114300" distR="114300" wp14:anchorId="21F2ADB7" wp14:editId="75FF1354">
            <wp:extent cx="5024438" cy="2117672"/>
            <wp:effectExtent l="12700" t="12700" r="12700" b="1270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024438" cy="2117672"/>
                    </a:xfrm>
                    <a:prstGeom prst="rect">
                      <a:avLst/>
                    </a:prstGeom>
                    <a:ln w="12700">
                      <a:solidFill>
                        <a:srgbClr val="000000"/>
                      </a:solidFill>
                      <a:prstDash val="solid"/>
                    </a:ln>
                  </pic:spPr>
                </pic:pic>
              </a:graphicData>
            </a:graphic>
          </wp:inline>
        </w:drawing>
      </w:r>
    </w:p>
    <w:p w14:paraId="3CCEC9B2" w14:textId="77777777" w:rsidR="004F511E" w:rsidRDefault="00FC4F1F">
      <w:pPr>
        <w:shd w:val="clear" w:color="auto" w:fill="FFFFFF"/>
        <w:spacing w:after="200" w:line="480" w:lineRule="auto"/>
        <w:jc w:val="center"/>
        <w:rPr>
          <w:rFonts w:ascii="Times New Roman" w:eastAsia="Times New Roman" w:hAnsi="Times New Roman" w:cs="Times New Roman"/>
          <w:i/>
          <w:color w:val="2D3B45"/>
          <w:sz w:val="24"/>
          <w:szCs w:val="24"/>
        </w:rPr>
      </w:pPr>
      <w:r>
        <w:rPr>
          <w:rFonts w:ascii="Times New Roman" w:eastAsia="Times New Roman" w:hAnsi="Times New Roman" w:cs="Times New Roman"/>
          <w:i/>
          <w:color w:val="2D3B45"/>
          <w:sz w:val="24"/>
          <w:szCs w:val="24"/>
        </w:rPr>
        <w:t>Figure 19: Investment projection using the DIA</w:t>
      </w:r>
    </w:p>
    <w:p w14:paraId="641C8834" w14:textId="77777777" w:rsidR="004F511E" w:rsidRDefault="00FC4F1F">
      <w:pPr>
        <w:shd w:val="clear" w:color="auto" w:fill="FFFFFF"/>
        <w:spacing w:line="480" w:lineRule="auto"/>
        <w:rPr>
          <w:rFonts w:ascii="Times New Roman" w:eastAsia="Times New Roman" w:hAnsi="Times New Roman" w:cs="Times New Roman"/>
          <w:b/>
          <w:color w:val="2D3B45"/>
          <w:sz w:val="28"/>
          <w:szCs w:val="28"/>
          <w:u w:val="single"/>
        </w:rPr>
      </w:pPr>
      <w:r>
        <w:rPr>
          <w:rFonts w:ascii="Times New Roman" w:eastAsia="Times New Roman" w:hAnsi="Times New Roman" w:cs="Times New Roman"/>
          <w:b/>
          <w:color w:val="2D3B45"/>
          <w:sz w:val="28"/>
          <w:szCs w:val="28"/>
          <w:u w:val="single"/>
        </w:rPr>
        <w:t>Conclusion</w:t>
      </w:r>
    </w:p>
    <w:p w14:paraId="35A22B3A" w14:textId="77777777" w:rsidR="004F511E" w:rsidRDefault="00FC4F1F">
      <w:pPr>
        <w:shd w:val="clear" w:color="auto" w:fill="FFFFFF"/>
        <w:spacing w:after="200" w:line="480" w:lineRule="auto"/>
        <w:rPr>
          <w:rFonts w:ascii="Times New Roman" w:eastAsia="Times New Roman" w:hAnsi="Times New Roman" w:cs="Times New Roman"/>
          <w:color w:val="2D3B45"/>
          <w:sz w:val="24"/>
          <w:szCs w:val="24"/>
        </w:rPr>
      </w:pPr>
      <w:r>
        <w:rPr>
          <w:rFonts w:ascii="Times New Roman" w:eastAsia="Times New Roman" w:hAnsi="Times New Roman" w:cs="Times New Roman"/>
          <w:color w:val="2D3B45"/>
          <w:sz w:val="28"/>
          <w:szCs w:val="28"/>
        </w:rPr>
        <w:tab/>
      </w:r>
      <w:r>
        <w:rPr>
          <w:rFonts w:ascii="Times New Roman" w:eastAsia="Times New Roman" w:hAnsi="Times New Roman" w:cs="Times New Roman"/>
          <w:sz w:val="24"/>
          <w:szCs w:val="24"/>
        </w:rPr>
        <w:t>Based on the analysis completed within this report, we can see that the performance of a portfolio made up of stock data from companies from each of the 11 GICS sectors compare well with some of the most popular stock market indices. Through methods such a</w:t>
      </w:r>
      <w:r>
        <w:rPr>
          <w:rFonts w:ascii="Times New Roman" w:eastAsia="Times New Roman" w:hAnsi="Times New Roman" w:cs="Times New Roman"/>
          <w:sz w:val="24"/>
          <w:szCs w:val="24"/>
        </w:rPr>
        <w:t>s data cleaning, investment strategies, and clustering analysis, the team was able to successfully obtain results which can help to answer the overall research question:</w:t>
      </w:r>
      <w:r>
        <w:rPr>
          <w:rFonts w:ascii="Times New Roman" w:eastAsia="Times New Roman" w:hAnsi="Times New Roman" w:cs="Times New Roman"/>
          <w:color w:val="2D3B45"/>
          <w:sz w:val="24"/>
          <w:szCs w:val="24"/>
        </w:rPr>
        <w:t xml:space="preserve"> </w:t>
      </w:r>
      <w:r>
        <w:rPr>
          <w:rFonts w:ascii="Times New Roman" w:eastAsia="Times New Roman" w:hAnsi="Times New Roman" w:cs="Times New Roman"/>
          <w:sz w:val="24"/>
          <w:szCs w:val="24"/>
        </w:rPr>
        <w:t xml:space="preserve">How does the performance of stock market indices of the leading companies in the United States compare to indices generated with </w:t>
      </w:r>
      <w:r>
        <w:rPr>
          <w:rFonts w:ascii="Times New Roman" w:eastAsia="Times New Roman" w:hAnsi="Times New Roman" w:cs="Times New Roman"/>
          <w:sz w:val="24"/>
          <w:szCs w:val="24"/>
        </w:rPr>
        <w:lastRenderedPageBreak/>
        <w:t xml:space="preserve">top performing companies across all sectors over the last 10 years? </w:t>
      </w:r>
      <w:proofErr w:type="gramStart"/>
      <w:r>
        <w:rPr>
          <w:rFonts w:ascii="Times New Roman" w:eastAsia="Times New Roman" w:hAnsi="Times New Roman" w:cs="Times New Roman"/>
          <w:sz w:val="24"/>
          <w:szCs w:val="24"/>
        </w:rPr>
        <w:t>With this being said, additional</w:t>
      </w:r>
      <w:proofErr w:type="gramEnd"/>
      <w:r>
        <w:rPr>
          <w:rFonts w:ascii="Times New Roman" w:eastAsia="Times New Roman" w:hAnsi="Times New Roman" w:cs="Times New Roman"/>
          <w:sz w:val="24"/>
          <w:szCs w:val="24"/>
        </w:rPr>
        <w:t xml:space="preserve"> topics that could be explo</w:t>
      </w:r>
      <w:r>
        <w:rPr>
          <w:rFonts w:ascii="Times New Roman" w:eastAsia="Times New Roman" w:hAnsi="Times New Roman" w:cs="Times New Roman"/>
          <w:sz w:val="24"/>
          <w:szCs w:val="24"/>
        </w:rPr>
        <w:t>red by the team had there been more time were looking at rebalancing theory rather than utilizing an equally weighted portfolio in the analysis or by adding more companies into the portfolio from GICS sub-sectors in order to make the portfolio more diverse</w:t>
      </w:r>
      <w:r>
        <w:rPr>
          <w:rFonts w:ascii="Times New Roman" w:eastAsia="Times New Roman" w:hAnsi="Times New Roman" w:cs="Times New Roman"/>
          <w:sz w:val="24"/>
          <w:szCs w:val="24"/>
        </w:rPr>
        <w:t>. This could have given the team more insights as to the interactions between the portfolio built from the sectors against stock indices such as the S&amp;P 500 and Dow Jones. In conclusion, the methods presented were helpful in performing the necessary analys</w:t>
      </w:r>
      <w:r>
        <w:rPr>
          <w:rFonts w:ascii="Times New Roman" w:eastAsia="Times New Roman" w:hAnsi="Times New Roman" w:cs="Times New Roman"/>
          <w:sz w:val="24"/>
          <w:szCs w:val="24"/>
        </w:rPr>
        <w:t>is to answer the question at hand.</w:t>
      </w:r>
    </w:p>
    <w:p w14:paraId="29611EF9" w14:textId="77777777" w:rsidR="004F511E" w:rsidRDefault="00FC4F1F">
      <w:pPr>
        <w:shd w:val="clear" w:color="auto" w:fill="FFFFFF"/>
        <w:spacing w:after="200" w:line="240" w:lineRule="auto"/>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2D3B45"/>
          <w:sz w:val="28"/>
          <w:szCs w:val="28"/>
          <w:u w:val="single"/>
        </w:rPr>
        <w:t>References</w:t>
      </w:r>
    </w:p>
    <w:p w14:paraId="0DEDF434" w14:textId="77777777" w:rsidR="004F511E" w:rsidRDefault="00FC4F1F">
      <w:pPr>
        <w:numPr>
          <w:ilvl w:val="0"/>
          <w:numId w:val="2"/>
        </w:numPr>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https://www.fool.com/investing/stock-market/market-sectors/</w:t>
        </w:r>
      </w:hyperlink>
    </w:p>
    <w:p w14:paraId="7CBE15C6" w14:textId="77777777" w:rsidR="004F511E" w:rsidRDefault="00FC4F1F">
      <w:pPr>
        <w:numPr>
          <w:ilvl w:val="0"/>
          <w:numId w:val="2"/>
        </w:numPr>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https://finance.yahoo.com</w:t>
        </w:r>
        <w:r>
          <w:rPr>
            <w:rFonts w:ascii="Times New Roman" w:eastAsia="Times New Roman" w:hAnsi="Times New Roman" w:cs="Times New Roman"/>
            <w:color w:val="1155CC"/>
            <w:sz w:val="24"/>
            <w:szCs w:val="24"/>
            <w:u w:val="single"/>
          </w:rPr>
          <w:t>/</w:t>
        </w:r>
      </w:hyperlink>
    </w:p>
    <w:p w14:paraId="2356578D" w14:textId="77777777" w:rsidR="004F511E" w:rsidRDefault="004F511E">
      <w:pPr>
        <w:spacing w:after="200"/>
        <w:rPr>
          <w:rFonts w:ascii="Times New Roman" w:eastAsia="Times New Roman" w:hAnsi="Times New Roman" w:cs="Times New Roman"/>
          <w:sz w:val="24"/>
          <w:szCs w:val="24"/>
        </w:rPr>
      </w:pPr>
    </w:p>
    <w:p w14:paraId="42697132" w14:textId="77777777" w:rsidR="004F511E" w:rsidRDefault="00FC4F1F">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Appendix</w:t>
      </w:r>
    </w:p>
    <w:p w14:paraId="6228751C" w14:textId="77777777" w:rsidR="004F511E" w:rsidRDefault="004F511E">
      <w:pPr>
        <w:rPr>
          <w:rFonts w:ascii="Times New Roman" w:eastAsia="Times New Roman" w:hAnsi="Times New Roman" w:cs="Times New Roman"/>
          <w:b/>
          <w:sz w:val="28"/>
          <w:szCs w:val="28"/>
          <w:u w:val="single"/>
        </w:rPr>
      </w:pPr>
    </w:p>
    <w:p w14:paraId="4521AD3B"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1: Monthly Log Returns of Sherwin-Williams (SHW)</w:t>
      </w:r>
    </w:p>
    <w:p w14:paraId="37FF8627"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5957327" wp14:editId="616F7FE6">
            <wp:extent cx="4191000" cy="2583132"/>
            <wp:effectExtent l="12700" t="12700" r="12700" b="127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191000" cy="2583132"/>
                    </a:xfrm>
                    <a:prstGeom prst="rect">
                      <a:avLst/>
                    </a:prstGeom>
                    <a:ln w="12700">
                      <a:solidFill>
                        <a:srgbClr val="000000"/>
                      </a:solidFill>
                      <a:prstDash val="solid"/>
                    </a:ln>
                  </pic:spPr>
                </pic:pic>
              </a:graphicData>
            </a:graphic>
          </wp:inline>
        </w:drawing>
      </w:r>
    </w:p>
    <w:p w14:paraId="60CA5836" w14:textId="77777777" w:rsidR="004F511E" w:rsidRDefault="004F511E">
      <w:pPr>
        <w:rPr>
          <w:rFonts w:ascii="Times New Roman" w:eastAsia="Times New Roman" w:hAnsi="Times New Roman" w:cs="Times New Roman"/>
          <w:i/>
          <w:sz w:val="24"/>
          <w:szCs w:val="24"/>
        </w:rPr>
      </w:pPr>
    </w:p>
    <w:p w14:paraId="4DA70BD9" w14:textId="77777777" w:rsidR="004F511E" w:rsidRDefault="004F511E">
      <w:pPr>
        <w:rPr>
          <w:rFonts w:ascii="Times New Roman" w:eastAsia="Times New Roman" w:hAnsi="Times New Roman" w:cs="Times New Roman"/>
          <w:i/>
          <w:sz w:val="24"/>
          <w:szCs w:val="24"/>
        </w:rPr>
      </w:pPr>
    </w:p>
    <w:p w14:paraId="1C7E63D1" w14:textId="77777777" w:rsidR="004F511E" w:rsidRDefault="004F511E">
      <w:pPr>
        <w:rPr>
          <w:rFonts w:ascii="Times New Roman" w:eastAsia="Times New Roman" w:hAnsi="Times New Roman" w:cs="Times New Roman"/>
          <w:i/>
          <w:sz w:val="24"/>
          <w:szCs w:val="24"/>
        </w:rPr>
      </w:pPr>
    </w:p>
    <w:p w14:paraId="37C8168D" w14:textId="77777777" w:rsidR="004F511E" w:rsidRDefault="004F511E">
      <w:pPr>
        <w:rPr>
          <w:rFonts w:ascii="Times New Roman" w:eastAsia="Times New Roman" w:hAnsi="Times New Roman" w:cs="Times New Roman"/>
          <w:i/>
          <w:sz w:val="24"/>
          <w:szCs w:val="24"/>
        </w:rPr>
      </w:pPr>
    </w:p>
    <w:p w14:paraId="1215FFF5" w14:textId="77777777" w:rsidR="004F511E" w:rsidRDefault="004F511E">
      <w:pPr>
        <w:rPr>
          <w:rFonts w:ascii="Times New Roman" w:eastAsia="Times New Roman" w:hAnsi="Times New Roman" w:cs="Times New Roman"/>
          <w:i/>
          <w:sz w:val="24"/>
          <w:szCs w:val="24"/>
        </w:rPr>
      </w:pPr>
    </w:p>
    <w:p w14:paraId="71092095" w14:textId="77777777" w:rsidR="004F511E" w:rsidRDefault="004F511E">
      <w:pPr>
        <w:rPr>
          <w:rFonts w:ascii="Times New Roman" w:eastAsia="Times New Roman" w:hAnsi="Times New Roman" w:cs="Times New Roman"/>
          <w:i/>
          <w:sz w:val="24"/>
          <w:szCs w:val="24"/>
        </w:rPr>
      </w:pPr>
    </w:p>
    <w:p w14:paraId="0633F862" w14:textId="77777777" w:rsidR="004F511E" w:rsidRDefault="004F511E">
      <w:pPr>
        <w:rPr>
          <w:rFonts w:ascii="Times New Roman" w:eastAsia="Times New Roman" w:hAnsi="Times New Roman" w:cs="Times New Roman"/>
          <w:i/>
          <w:sz w:val="24"/>
          <w:szCs w:val="24"/>
        </w:rPr>
      </w:pPr>
    </w:p>
    <w:p w14:paraId="12CC6BA5" w14:textId="77777777" w:rsidR="004F511E" w:rsidRDefault="004F511E">
      <w:pPr>
        <w:rPr>
          <w:rFonts w:ascii="Times New Roman" w:eastAsia="Times New Roman" w:hAnsi="Times New Roman" w:cs="Times New Roman"/>
          <w:i/>
          <w:sz w:val="24"/>
          <w:szCs w:val="24"/>
        </w:rPr>
      </w:pPr>
    </w:p>
    <w:p w14:paraId="474A5A94"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2: Monthly Log Returns of UnitedHealth Group (UNH)</w:t>
      </w:r>
    </w:p>
    <w:p w14:paraId="0A81BE1B"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D8A8781" wp14:editId="167D1763">
            <wp:extent cx="4286250" cy="2647662"/>
            <wp:effectExtent l="12700" t="12700" r="12700" b="127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286250" cy="2647662"/>
                    </a:xfrm>
                    <a:prstGeom prst="rect">
                      <a:avLst/>
                    </a:prstGeom>
                    <a:ln w="12700">
                      <a:solidFill>
                        <a:srgbClr val="000000"/>
                      </a:solidFill>
                      <a:prstDash val="solid"/>
                    </a:ln>
                  </pic:spPr>
                </pic:pic>
              </a:graphicData>
            </a:graphic>
          </wp:inline>
        </w:drawing>
      </w:r>
    </w:p>
    <w:p w14:paraId="2E66B939" w14:textId="77777777" w:rsidR="004F511E" w:rsidRDefault="004F511E">
      <w:pPr>
        <w:rPr>
          <w:rFonts w:ascii="Times New Roman" w:eastAsia="Times New Roman" w:hAnsi="Times New Roman" w:cs="Times New Roman"/>
          <w:i/>
          <w:sz w:val="24"/>
          <w:szCs w:val="24"/>
        </w:rPr>
      </w:pPr>
    </w:p>
    <w:p w14:paraId="35DC8804"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3: Monthly Log Returns of Coca-Cola (KO)</w:t>
      </w:r>
    </w:p>
    <w:p w14:paraId="685ABFCB"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7F6FB4B" wp14:editId="39134D47">
            <wp:extent cx="4414838" cy="2723898"/>
            <wp:effectExtent l="12700" t="12700" r="12700" b="1270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414838" cy="2723898"/>
                    </a:xfrm>
                    <a:prstGeom prst="rect">
                      <a:avLst/>
                    </a:prstGeom>
                    <a:ln w="12700">
                      <a:solidFill>
                        <a:srgbClr val="000000"/>
                      </a:solidFill>
                      <a:prstDash val="solid"/>
                    </a:ln>
                  </pic:spPr>
                </pic:pic>
              </a:graphicData>
            </a:graphic>
          </wp:inline>
        </w:drawing>
      </w:r>
    </w:p>
    <w:p w14:paraId="7C7CAD61" w14:textId="77777777" w:rsidR="004F511E" w:rsidRDefault="004F511E">
      <w:pPr>
        <w:rPr>
          <w:rFonts w:ascii="Times New Roman" w:eastAsia="Times New Roman" w:hAnsi="Times New Roman" w:cs="Times New Roman"/>
          <w:i/>
          <w:sz w:val="24"/>
          <w:szCs w:val="24"/>
        </w:rPr>
      </w:pPr>
    </w:p>
    <w:p w14:paraId="56144BE3" w14:textId="77777777" w:rsidR="004F511E" w:rsidRDefault="004F511E">
      <w:pPr>
        <w:rPr>
          <w:rFonts w:ascii="Times New Roman" w:eastAsia="Times New Roman" w:hAnsi="Times New Roman" w:cs="Times New Roman"/>
          <w:i/>
          <w:sz w:val="24"/>
          <w:szCs w:val="24"/>
        </w:rPr>
      </w:pPr>
    </w:p>
    <w:p w14:paraId="63B021CC" w14:textId="77777777" w:rsidR="004F511E" w:rsidRDefault="004F511E">
      <w:pPr>
        <w:rPr>
          <w:rFonts w:ascii="Times New Roman" w:eastAsia="Times New Roman" w:hAnsi="Times New Roman" w:cs="Times New Roman"/>
          <w:i/>
          <w:sz w:val="24"/>
          <w:szCs w:val="24"/>
        </w:rPr>
      </w:pPr>
    </w:p>
    <w:p w14:paraId="770D833F" w14:textId="77777777" w:rsidR="004F511E" w:rsidRDefault="004F511E">
      <w:pPr>
        <w:rPr>
          <w:rFonts w:ascii="Times New Roman" w:eastAsia="Times New Roman" w:hAnsi="Times New Roman" w:cs="Times New Roman"/>
          <w:i/>
          <w:sz w:val="24"/>
          <w:szCs w:val="24"/>
        </w:rPr>
      </w:pPr>
    </w:p>
    <w:p w14:paraId="5C70F68E" w14:textId="77777777" w:rsidR="004F511E" w:rsidRDefault="004F511E">
      <w:pPr>
        <w:rPr>
          <w:rFonts w:ascii="Times New Roman" w:eastAsia="Times New Roman" w:hAnsi="Times New Roman" w:cs="Times New Roman"/>
          <w:i/>
          <w:sz w:val="24"/>
          <w:szCs w:val="24"/>
        </w:rPr>
      </w:pPr>
    </w:p>
    <w:p w14:paraId="74AF8A5D" w14:textId="77777777" w:rsidR="004F511E" w:rsidRDefault="004F511E">
      <w:pPr>
        <w:rPr>
          <w:rFonts w:ascii="Times New Roman" w:eastAsia="Times New Roman" w:hAnsi="Times New Roman" w:cs="Times New Roman"/>
          <w:i/>
          <w:sz w:val="24"/>
          <w:szCs w:val="24"/>
        </w:rPr>
      </w:pPr>
    </w:p>
    <w:p w14:paraId="0D5BF764" w14:textId="77777777" w:rsidR="004F511E" w:rsidRDefault="004F511E">
      <w:pPr>
        <w:rPr>
          <w:rFonts w:ascii="Times New Roman" w:eastAsia="Times New Roman" w:hAnsi="Times New Roman" w:cs="Times New Roman"/>
          <w:i/>
          <w:sz w:val="24"/>
          <w:szCs w:val="24"/>
        </w:rPr>
      </w:pPr>
    </w:p>
    <w:p w14:paraId="1C2E767F" w14:textId="77777777" w:rsidR="004F511E" w:rsidRDefault="004F511E">
      <w:pPr>
        <w:rPr>
          <w:rFonts w:ascii="Times New Roman" w:eastAsia="Times New Roman" w:hAnsi="Times New Roman" w:cs="Times New Roman"/>
          <w:i/>
          <w:sz w:val="24"/>
          <w:szCs w:val="24"/>
        </w:rPr>
      </w:pPr>
    </w:p>
    <w:p w14:paraId="3D849E55" w14:textId="77777777" w:rsidR="004F511E" w:rsidRDefault="004F511E">
      <w:pPr>
        <w:rPr>
          <w:rFonts w:ascii="Times New Roman" w:eastAsia="Times New Roman" w:hAnsi="Times New Roman" w:cs="Times New Roman"/>
          <w:i/>
          <w:sz w:val="24"/>
          <w:szCs w:val="24"/>
        </w:rPr>
      </w:pPr>
    </w:p>
    <w:p w14:paraId="23BB0590" w14:textId="77777777" w:rsidR="004F511E" w:rsidRDefault="004F511E">
      <w:pPr>
        <w:rPr>
          <w:rFonts w:ascii="Times New Roman" w:eastAsia="Times New Roman" w:hAnsi="Times New Roman" w:cs="Times New Roman"/>
          <w:i/>
          <w:sz w:val="24"/>
          <w:szCs w:val="24"/>
        </w:rPr>
      </w:pPr>
    </w:p>
    <w:p w14:paraId="58D12141"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4: Monthly Log Returns of JP Morgan (JPM)</w:t>
      </w:r>
    </w:p>
    <w:p w14:paraId="69F5A070"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4887F40" wp14:editId="738687A6">
            <wp:extent cx="4376738" cy="2700391"/>
            <wp:effectExtent l="12700" t="12700" r="12700" b="127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4376738" cy="2700391"/>
                    </a:xfrm>
                    <a:prstGeom prst="rect">
                      <a:avLst/>
                    </a:prstGeom>
                    <a:ln w="12700">
                      <a:solidFill>
                        <a:srgbClr val="000000"/>
                      </a:solidFill>
                      <a:prstDash val="solid"/>
                    </a:ln>
                  </pic:spPr>
                </pic:pic>
              </a:graphicData>
            </a:graphic>
          </wp:inline>
        </w:drawing>
      </w:r>
    </w:p>
    <w:p w14:paraId="0F18E320" w14:textId="77777777" w:rsidR="004F511E" w:rsidRDefault="004F511E">
      <w:pPr>
        <w:rPr>
          <w:rFonts w:ascii="Times New Roman" w:eastAsia="Times New Roman" w:hAnsi="Times New Roman" w:cs="Times New Roman"/>
          <w:i/>
          <w:sz w:val="24"/>
          <w:szCs w:val="24"/>
        </w:rPr>
      </w:pPr>
    </w:p>
    <w:p w14:paraId="48CDEE75"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5: Monthly Log Returns of Google (GOOG)</w:t>
      </w:r>
    </w:p>
    <w:p w14:paraId="1F41E250"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0B0EDD80" wp14:editId="54542415">
            <wp:extent cx="4281488" cy="2642179"/>
            <wp:effectExtent l="12700" t="12700" r="12700" b="127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281488" cy="2642179"/>
                    </a:xfrm>
                    <a:prstGeom prst="rect">
                      <a:avLst/>
                    </a:prstGeom>
                    <a:ln w="12700">
                      <a:solidFill>
                        <a:srgbClr val="000000"/>
                      </a:solidFill>
                      <a:prstDash val="solid"/>
                    </a:ln>
                  </pic:spPr>
                </pic:pic>
              </a:graphicData>
            </a:graphic>
          </wp:inline>
        </w:drawing>
      </w:r>
    </w:p>
    <w:p w14:paraId="3D93C871" w14:textId="77777777" w:rsidR="004F511E" w:rsidRDefault="004F511E">
      <w:pPr>
        <w:rPr>
          <w:rFonts w:ascii="Times New Roman" w:eastAsia="Times New Roman" w:hAnsi="Times New Roman" w:cs="Times New Roman"/>
          <w:i/>
          <w:sz w:val="24"/>
          <w:szCs w:val="24"/>
        </w:rPr>
      </w:pPr>
    </w:p>
    <w:p w14:paraId="697D656C" w14:textId="77777777" w:rsidR="004F511E" w:rsidRDefault="004F511E">
      <w:pPr>
        <w:rPr>
          <w:rFonts w:ascii="Times New Roman" w:eastAsia="Times New Roman" w:hAnsi="Times New Roman" w:cs="Times New Roman"/>
          <w:i/>
          <w:sz w:val="24"/>
          <w:szCs w:val="24"/>
        </w:rPr>
      </w:pPr>
    </w:p>
    <w:p w14:paraId="0AA8E04A" w14:textId="77777777" w:rsidR="004F511E" w:rsidRDefault="004F511E">
      <w:pPr>
        <w:rPr>
          <w:rFonts w:ascii="Times New Roman" w:eastAsia="Times New Roman" w:hAnsi="Times New Roman" w:cs="Times New Roman"/>
          <w:i/>
          <w:sz w:val="24"/>
          <w:szCs w:val="24"/>
        </w:rPr>
      </w:pPr>
    </w:p>
    <w:p w14:paraId="0BB13A9F" w14:textId="77777777" w:rsidR="004F511E" w:rsidRDefault="004F511E">
      <w:pPr>
        <w:rPr>
          <w:rFonts w:ascii="Times New Roman" w:eastAsia="Times New Roman" w:hAnsi="Times New Roman" w:cs="Times New Roman"/>
          <w:i/>
          <w:sz w:val="24"/>
          <w:szCs w:val="24"/>
        </w:rPr>
      </w:pPr>
    </w:p>
    <w:p w14:paraId="2922A108" w14:textId="77777777" w:rsidR="004F511E" w:rsidRDefault="004F511E">
      <w:pPr>
        <w:rPr>
          <w:rFonts w:ascii="Times New Roman" w:eastAsia="Times New Roman" w:hAnsi="Times New Roman" w:cs="Times New Roman"/>
          <w:i/>
          <w:sz w:val="24"/>
          <w:szCs w:val="24"/>
        </w:rPr>
      </w:pPr>
    </w:p>
    <w:p w14:paraId="30887D62" w14:textId="77777777" w:rsidR="004F511E" w:rsidRDefault="004F511E">
      <w:pPr>
        <w:rPr>
          <w:rFonts w:ascii="Times New Roman" w:eastAsia="Times New Roman" w:hAnsi="Times New Roman" w:cs="Times New Roman"/>
          <w:i/>
          <w:sz w:val="24"/>
          <w:szCs w:val="24"/>
        </w:rPr>
      </w:pPr>
    </w:p>
    <w:p w14:paraId="7F3EEB65" w14:textId="77777777" w:rsidR="004F511E" w:rsidRDefault="004F511E">
      <w:pPr>
        <w:rPr>
          <w:rFonts w:ascii="Times New Roman" w:eastAsia="Times New Roman" w:hAnsi="Times New Roman" w:cs="Times New Roman"/>
          <w:i/>
          <w:sz w:val="24"/>
          <w:szCs w:val="24"/>
        </w:rPr>
      </w:pPr>
    </w:p>
    <w:p w14:paraId="2BD976E1" w14:textId="77777777" w:rsidR="004F511E" w:rsidRDefault="004F511E">
      <w:pPr>
        <w:rPr>
          <w:rFonts w:ascii="Times New Roman" w:eastAsia="Times New Roman" w:hAnsi="Times New Roman" w:cs="Times New Roman"/>
          <w:i/>
          <w:sz w:val="24"/>
          <w:szCs w:val="24"/>
        </w:rPr>
      </w:pPr>
    </w:p>
    <w:p w14:paraId="50B272E0" w14:textId="77777777" w:rsidR="004F511E" w:rsidRDefault="004F511E">
      <w:pPr>
        <w:rPr>
          <w:rFonts w:ascii="Times New Roman" w:eastAsia="Times New Roman" w:hAnsi="Times New Roman" w:cs="Times New Roman"/>
          <w:i/>
          <w:sz w:val="24"/>
          <w:szCs w:val="24"/>
        </w:rPr>
      </w:pPr>
    </w:p>
    <w:p w14:paraId="68EDCCBF" w14:textId="77777777" w:rsidR="004F511E" w:rsidRDefault="004F511E">
      <w:pPr>
        <w:rPr>
          <w:rFonts w:ascii="Times New Roman" w:eastAsia="Times New Roman" w:hAnsi="Times New Roman" w:cs="Times New Roman"/>
          <w:i/>
          <w:sz w:val="24"/>
          <w:szCs w:val="24"/>
        </w:rPr>
      </w:pPr>
    </w:p>
    <w:p w14:paraId="05D49F45"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6: Monthly Log Returns of Duke Energy (DUK)</w:t>
      </w:r>
    </w:p>
    <w:p w14:paraId="48EED26A"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AF91664" wp14:editId="00DCCF3A">
            <wp:extent cx="4348163" cy="2685083"/>
            <wp:effectExtent l="12700" t="12700" r="12700" b="127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4348163" cy="2685083"/>
                    </a:xfrm>
                    <a:prstGeom prst="rect">
                      <a:avLst/>
                    </a:prstGeom>
                    <a:ln w="12700">
                      <a:solidFill>
                        <a:srgbClr val="000000"/>
                      </a:solidFill>
                      <a:prstDash val="solid"/>
                    </a:ln>
                  </pic:spPr>
                </pic:pic>
              </a:graphicData>
            </a:graphic>
          </wp:inline>
        </w:drawing>
      </w:r>
    </w:p>
    <w:p w14:paraId="0D0AF6C4" w14:textId="77777777" w:rsidR="004F511E" w:rsidRDefault="004F511E">
      <w:pPr>
        <w:rPr>
          <w:rFonts w:ascii="Times New Roman" w:eastAsia="Times New Roman" w:hAnsi="Times New Roman" w:cs="Times New Roman"/>
          <w:i/>
          <w:sz w:val="24"/>
          <w:szCs w:val="24"/>
        </w:rPr>
      </w:pPr>
    </w:p>
    <w:p w14:paraId="78A970E7"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7: Monthly Log Returns of Boeing (BA)</w:t>
      </w:r>
    </w:p>
    <w:p w14:paraId="175D347F"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2068FD4" wp14:editId="40C894DA">
            <wp:extent cx="4457700" cy="2749937"/>
            <wp:effectExtent l="12700" t="12700" r="12700" b="127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4457700" cy="2749937"/>
                    </a:xfrm>
                    <a:prstGeom prst="rect">
                      <a:avLst/>
                    </a:prstGeom>
                    <a:ln w="12700">
                      <a:solidFill>
                        <a:srgbClr val="000000"/>
                      </a:solidFill>
                      <a:prstDash val="solid"/>
                    </a:ln>
                  </pic:spPr>
                </pic:pic>
              </a:graphicData>
            </a:graphic>
          </wp:inline>
        </w:drawing>
      </w:r>
    </w:p>
    <w:p w14:paraId="6DB3B93C" w14:textId="77777777" w:rsidR="004F511E" w:rsidRDefault="004F511E">
      <w:pPr>
        <w:rPr>
          <w:rFonts w:ascii="Times New Roman" w:eastAsia="Times New Roman" w:hAnsi="Times New Roman" w:cs="Times New Roman"/>
          <w:i/>
          <w:sz w:val="24"/>
          <w:szCs w:val="24"/>
        </w:rPr>
      </w:pPr>
    </w:p>
    <w:p w14:paraId="22D62F7B" w14:textId="77777777" w:rsidR="004F511E" w:rsidRDefault="004F511E">
      <w:pPr>
        <w:rPr>
          <w:rFonts w:ascii="Times New Roman" w:eastAsia="Times New Roman" w:hAnsi="Times New Roman" w:cs="Times New Roman"/>
          <w:i/>
          <w:sz w:val="24"/>
          <w:szCs w:val="24"/>
        </w:rPr>
      </w:pPr>
    </w:p>
    <w:p w14:paraId="0DE83EC1" w14:textId="77777777" w:rsidR="004F511E" w:rsidRDefault="004F511E">
      <w:pPr>
        <w:rPr>
          <w:rFonts w:ascii="Times New Roman" w:eastAsia="Times New Roman" w:hAnsi="Times New Roman" w:cs="Times New Roman"/>
          <w:i/>
          <w:sz w:val="24"/>
          <w:szCs w:val="24"/>
        </w:rPr>
      </w:pPr>
    </w:p>
    <w:p w14:paraId="21BC2704" w14:textId="77777777" w:rsidR="004F511E" w:rsidRDefault="004F511E">
      <w:pPr>
        <w:rPr>
          <w:rFonts w:ascii="Times New Roman" w:eastAsia="Times New Roman" w:hAnsi="Times New Roman" w:cs="Times New Roman"/>
          <w:i/>
          <w:sz w:val="24"/>
          <w:szCs w:val="24"/>
        </w:rPr>
      </w:pPr>
    </w:p>
    <w:p w14:paraId="4A318112" w14:textId="77777777" w:rsidR="004F511E" w:rsidRDefault="004F511E">
      <w:pPr>
        <w:rPr>
          <w:rFonts w:ascii="Times New Roman" w:eastAsia="Times New Roman" w:hAnsi="Times New Roman" w:cs="Times New Roman"/>
          <w:i/>
          <w:sz w:val="24"/>
          <w:szCs w:val="24"/>
        </w:rPr>
      </w:pPr>
    </w:p>
    <w:p w14:paraId="6831675A" w14:textId="77777777" w:rsidR="004F511E" w:rsidRDefault="004F511E">
      <w:pPr>
        <w:rPr>
          <w:rFonts w:ascii="Times New Roman" w:eastAsia="Times New Roman" w:hAnsi="Times New Roman" w:cs="Times New Roman"/>
          <w:i/>
          <w:sz w:val="24"/>
          <w:szCs w:val="24"/>
        </w:rPr>
      </w:pPr>
    </w:p>
    <w:p w14:paraId="4A56E367" w14:textId="77777777" w:rsidR="004F511E" w:rsidRDefault="004F511E">
      <w:pPr>
        <w:rPr>
          <w:rFonts w:ascii="Times New Roman" w:eastAsia="Times New Roman" w:hAnsi="Times New Roman" w:cs="Times New Roman"/>
          <w:i/>
          <w:sz w:val="24"/>
          <w:szCs w:val="24"/>
        </w:rPr>
      </w:pPr>
    </w:p>
    <w:p w14:paraId="025EBBFD" w14:textId="77777777" w:rsidR="004F511E" w:rsidRDefault="004F511E">
      <w:pPr>
        <w:rPr>
          <w:rFonts w:ascii="Times New Roman" w:eastAsia="Times New Roman" w:hAnsi="Times New Roman" w:cs="Times New Roman"/>
          <w:i/>
          <w:sz w:val="24"/>
          <w:szCs w:val="24"/>
        </w:rPr>
      </w:pPr>
    </w:p>
    <w:p w14:paraId="075E9D06" w14:textId="77777777" w:rsidR="004F511E" w:rsidRDefault="004F511E">
      <w:pPr>
        <w:rPr>
          <w:rFonts w:ascii="Times New Roman" w:eastAsia="Times New Roman" w:hAnsi="Times New Roman" w:cs="Times New Roman"/>
          <w:i/>
          <w:sz w:val="24"/>
          <w:szCs w:val="24"/>
        </w:rPr>
      </w:pPr>
    </w:p>
    <w:p w14:paraId="53BAA6EE" w14:textId="77777777" w:rsidR="004F511E" w:rsidRDefault="004F511E">
      <w:pPr>
        <w:rPr>
          <w:rFonts w:ascii="Times New Roman" w:eastAsia="Times New Roman" w:hAnsi="Times New Roman" w:cs="Times New Roman"/>
          <w:i/>
          <w:sz w:val="24"/>
          <w:szCs w:val="24"/>
        </w:rPr>
      </w:pPr>
    </w:p>
    <w:p w14:paraId="3AA2C853"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8: Monthly Log Returns of Amazon (AMZN)</w:t>
      </w:r>
    </w:p>
    <w:p w14:paraId="11EBFAD6"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A03568F" wp14:editId="1D1C8890">
            <wp:extent cx="4476750" cy="2763753"/>
            <wp:effectExtent l="12700" t="12700" r="12700" b="127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4476750" cy="2763753"/>
                    </a:xfrm>
                    <a:prstGeom prst="rect">
                      <a:avLst/>
                    </a:prstGeom>
                    <a:ln w="12700">
                      <a:solidFill>
                        <a:srgbClr val="000000"/>
                      </a:solidFill>
                      <a:prstDash val="solid"/>
                    </a:ln>
                  </pic:spPr>
                </pic:pic>
              </a:graphicData>
            </a:graphic>
          </wp:inline>
        </w:drawing>
      </w:r>
    </w:p>
    <w:p w14:paraId="25029FB0" w14:textId="77777777" w:rsidR="004F511E" w:rsidRDefault="004F511E">
      <w:pPr>
        <w:rPr>
          <w:rFonts w:ascii="Times New Roman" w:eastAsia="Times New Roman" w:hAnsi="Times New Roman" w:cs="Times New Roman"/>
          <w:i/>
          <w:sz w:val="24"/>
          <w:szCs w:val="24"/>
        </w:rPr>
      </w:pPr>
    </w:p>
    <w:p w14:paraId="70B4E266"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9: Monthly Log Returns of American Tower (AMT)</w:t>
      </w:r>
    </w:p>
    <w:p w14:paraId="665E5D7C"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AAFC344" wp14:editId="73E3086D">
            <wp:extent cx="4502344" cy="2771422"/>
            <wp:effectExtent l="12700" t="12700" r="12700" b="127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4502344" cy="2771422"/>
                    </a:xfrm>
                    <a:prstGeom prst="rect">
                      <a:avLst/>
                    </a:prstGeom>
                    <a:ln w="12700">
                      <a:solidFill>
                        <a:srgbClr val="000000"/>
                      </a:solidFill>
                      <a:prstDash val="solid"/>
                    </a:ln>
                  </pic:spPr>
                </pic:pic>
              </a:graphicData>
            </a:graphic>
          </wp:inline>
        </w:drawing>
      </w:r>
    </w:p>
    <w:p w14:paraId="4D3556C2" w14:textId="77777777" w:rsidR="004F511E" w:rsidRDefault="004F511E">
      <w:pPr>
        <w:rPr>
          <w:rFonts w:ascii="Times New Roman" w:eastAsia="Times New Roman" w:hAnsi="Times New Roman" w:cs="Times New Roman"/>
          <w:i/>
          <w:sz w:val="24"/>
          <w:szCs w:val="24"/>
        </w:rPr>
      </w:pPr>
    </w:p>
    <w:p w14:paraId="124E1BDC" w14:textId="77777777" w:rsidR="004F511E" w:rsidRDefault="004F511E">
      <w:pPr>
        <w:rPr>
          <w:rFonts w:ascii="Times New Roman" w:eastAsia="Times New Roman" w:hAnsi="Times New Roman" w:cs="Times New Roman"/>
          <w:i/>
          <w:sz w:val="24"/>
          <w:szCs w:val="24"/>
        </w:rPr>
      </w:pPr>
    </w:p>
    <w:p w14:paraId="598F700E" w14:textId="77777777" w:rsidR="004F511E" w:rsidRDefault="004F511E">
      <w:pPr>
        <w:rPr>
          <w:rFonts w:ascii="Times New Roman" w:eastAsia="Times New Roman" w:hAnsi="Times New Roman" w:cs="Times New Roman"/>
          <w:i/>
          <w:sz w:val="24"/>
          <w:szCs w:val="24"/>
        </w:rPr>
      </w:pPr>
    </w:p>
    <w:p w14:paraId="6ECABE92" w14:textId="77777777" w:rsidR="004F511E" w:rsidRDefault="004F511E">
      <w:pPr>
        <w:rPr>
          <w:rFonts w:ascii="Times New Roman" w:eastAsia="Times New Roman" w:hAnsi="Times New Roman" w:cs="Times New Roman"/>
          <w:i/>
          <w:sz w:val="24"/>
          <w:szCs w:val="24"/>
        </w:rPr>
      </w:pPr>
    </w:p>
    <w:p w14:paraId="72FDE00C" w14:textId="77777777" w:rsidR="004F511E" w:rsidRDefault="004F511E">
      <w:pPr>
        <w:rPr>
          <w:rFonts w:ascii="Times New Roman" w:eastAsia="Times New Roman" w:hAnsi="Times New Roman" w:cs="Times New Roman"/>
          <w:i/>
          <w:sz w:val="24"/>
          <w:szCs w:val="24"/>
        </w:rPr>
      </w:pPr>
    </w:p>
    <w:p w14:paraId="108913B0" w14:textId="77777777" w:rsidR="004F511E" w:rsidRDefault="004F511E">
      <w:pPr>
        <w:rPr>
          <w:rFonts w:ascii="Times New Roman" w:eastAsia="Times New Roman" w:hAnsi="Times New Roman" w:cs="Times New Roman"/>
          <w:i/>
          <w:sz w:val="24"/>
          <w:szCs w:val="24"/>
        </w:rPr>
      </w:pPr>
    </w:p>
    <w:p w14:paraId="75C50CFE" w14:textId="77777777" w:rsidR="004F511E" w:rsidRDefault="004F511E">
      <w:pPr>
        <w:rPr>
          <w:rFonts w:ascii="Times New Roman" w:eastAsia="Times New Roman" w:hAnsi="Times New Roman" w:cs="Times New Roman"/>
          <w:i/>
          <w:sz w:val="24"/>
          <w:szCs w:val="24"/>
        </w:rPr>
      </w:pPr>
    </w:p>
    <w:p w14:paraId="2390661C" w14:textId="77777777" w:rsidR="004F511E" w:rsidRDefault="004F511E">
      <w:pPr>
        <w:rPr>
          <w:rFonts w:ascii="Times New Roman" w:eastAsia="Times New Roman" w:hAnsi="Times New Roman" w:cs="Times New Roman"/>
          <w:i/>
          <w:sz w:val="24"/>
          <w:szCs w:val="24"/>
        </w:rPr>
      </w:pPr>
    </w:p>
    <w:p w14:paraId="75AA0122" w14:textId="77777777" w:rsidR="004F511E" w:rsidRDefault="004F511E">
      <w:pPr>
        <w:rPr>
          <w:rFonts w:ascii="Times New Roman" w:eastAsia="Times New Roman" w:hAnsi="Times New Roman" w:cs="Times New Roman"/>
          <w:i/>
          <w:sz w:val="24"/>
          <w:szCs w:val="24"/>
        </w:rPr>
      </w:pPr>
    </w:p>
    <w:p w14:paraId="15FA61B3"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10: Monthly Log Returns of Apple (AAPL)</w:t>
      </w:r>
    </w:p>
    <w:p w14:paraId="4182DCAE"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7C7400C" wp14:editId="61F0EF57">
            <wp:extent cx="4498686" cy="2767013"/>
            <wp:effectExtent l="12700" t="12700" r="12700" b="127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4498686" cy="2767013"/>
                    </a:xfrm>
                    <a:prstGeom prst="rect">
                      <a:avLst/>
                    </a:prstGeom>
                    <a:ln w="12700">
                      <a:solidFill>
                        <a:srgbClr val="000000"/>
                      </a:solidFill>
                      <a:prstDash val="solid"/>
                    </a:ln>
                  </pic:spPr>
                </pic:pic>
              </a:graphicData>
            </a:graphic>
          </wp:inline>
        </w:drawing>
      </w:r>
    </w:p>
    <w:p w14:paraId="5458D215" w14:textId="77777777" w:rsidR="004F511E" w:rsidRDefault="004F511E">
      <w:pPr>
        <w:rPr>
          <w:rFonts w:ascii="Times New Roman" w:eastAsia="Times New Roman" w:hAnsi="Times New Roman" w:cs="Times New Roman"/>
          <w:i/>
          <w:sz w:val="24"/>
          <w:szCs w:val="24"/>
        </w:rPr>
      </w:pPr>
    </w:p>
    <w:p w14:paraId="6E80456B" w14:textId="77777777" w:rsidR="004F511E" w:rsidRDefault="00FC4F1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Appendix 11: Monthly Log Returns of ExxonMobil (XOM)</w:t>
      </w:r>
    </w:p>
    <w:p w14:paraId="49F41940" w14:textId="77777777" w:rsidR="004F511E" w:rsidRDefault="00FC4F1F">
      <w:pPr>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731AB46B" wp14:editId="62886893">
            <wp:extent cx="4522811" cy="2790472"/>
            <wp:effectExtent l="12700" t="12700" r="12700" b="127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522811" cy="2790472"/>
                    </a:xfrm>
                    <a:prstGeom prst="rect">
                      <a:avLst/>
                    </a:prstGeom>
                    <a:ln w="12700">
                      <a:solidFill>
                        <a:srgbClr val="000000"/>
                      </a:solidFill>
                      <a:prstDash val="solid"/>
                    </a:ln>
                  </pic:spPr>
                </pic:pic>
              </a:graphicData>
            </a:graphic>
          </wp:inline>
        </w:drawing>
      </w:r>
    </w:p>
    <w:sectPr w:rsidR="004F51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E28F9"/>
    <w:multiLevelType w:val="multilevel"/>
    <w:tmpl w:val="2F868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32605E"/>
    <w:multiLevelType w:val="multilevel"/>
    <w:tmpl w:val="97AE8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6219949">
    <w:abstractNumId w:val="1"/>
  </w:num>
  <w:num w:numId="2" w16cid:durableId="95562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1E"/>
    <w:rsid w:val="004F511E"/>
    <w:rsid w:val="00FC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84639"/>
  <w15:docId w15:val="{ABF04E7A-50E6-4356-BACF-32C7A988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finance.yahoo.com/" TargetMode="External"/><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fool.com/investing/stock-market/market-sectors/" TargetMode="External"/><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2536</Words>
  <Characters>14457</Characters>
  <Application>Microsoft Office Word</Application>
  <DocSecurity>0</DocSecurity>
  <Lines>120</Lines>
  <Paragraphs>33</Paragraphs>
  <ScaleCrop>false</ScaleCrop>
  <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Rishabh Rawat</dc:creator>
  <cp:lastModifiedBy>Rishabh Rawat</cp:lastModifiedBy>
  <cp:revision>3</cp:revision>
  <dcterms:created xsi:type="dcterms:W3CDTF">2022-06-16T03:30:00Z</dcterms:created>
  <dcterms:modified xsi:type="dcterms:W3CDTF">2022-06-16T03:30:00Z</dcterms:modified>
</cp:coreProperties>
</file>